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CBC96" w14:textId="77777777" w:rsidR="008C6354" w:rsidRDefault="00AF57B7">
      <w:pPr>
        <w:spacing w:before="680" w:after="320"/>
        <w:jc w:val="center"/>
      </w:pPr>
      <w:r>
        <w:rPr>
          <w:rFonts w:ascii="Aptos Display" w:hAnsi="Aptos Display"/>
          <w:b/>
          <w:caps/>
          <w:color w:val="595959"/>
          <w:sz w:val="30"/>
        </w:rPr>
        <w:t>REQUEST FOR PROPOSALS</w:t>
      </w:r>
    </w:p>
    <w:p w14:paraId="2BE431D5" w14:textId="0E3B7E1F" w:rsidR="008C6354" w:rsidRDefault="00AF57B7" w:rsidP="00823935">
      <w:pPr>
        <w:spacing w:after="200"/>
        <w:jc w:val="center"/>
        <w:rPr>
          <w:rFonts w:ascii="Aptos Display" w:hAnsi="Aptos Display"/>
          <w:b/>
          <w:color w:val="1F4E79"/>
          <w:sz w:val="46"/>
        </w:rPr>
      </w:pPr>
      <w:r>
        <w:rPr>
          <w:rFonts w:ascii="Aptos Display" w:hAnsi="Aptos Display"/>
          <w:b/>
          <w:color w:val="1F4E79"/>
          <w:sz w:val="46"/>
        </w:rPr>
        <w:t>Assessing Foreign Defense Requirements and Evaluating U.S. and Allied Security Solutions</w:t>
      </w:r>
    </w:p>
    <w:p w14:paraId="2425EDB0" w14:textId="1D312B6B" w:rsidR="00382C72" w:rsidRPr="00382C72" w:rsidRDefault="00382C72" w:rsidP="29BDBEDE">
      <w:pPr>
        <w:spacing w:after="200"/>
        <w:jc w:val="center"/>
      </w:pPr>
      <w:r w:rsidRPr="29BDBEDE">
        <w:rPr>
          <w:rFonts w:ascii="Aptos Display" w:hAnsi="Aptos Display"/>
          <w:color w:val="1F4E79"/>
          <w:sz w:val="32"/>
          <w:szCs w:val="32"/>
        </w:rPr>
        <w:t xml:space="preserve">Deadline: </w:t>
      </w:r>
      <w:r w:rsidR="2841104C" w:rsidRPr="29BDBEDE">
        <w:rPr>
          <w:rFonts w:ascii="Aptos Display" w:hAnsi="Aptos Display"/>
          <w:color w:val="1F4E79"/>
          <w:sz w:val="32"/>
          <w:szCs w:val="32"/>
        </w:rPr>
        <w:t>September 25, 2026</w:t>
      </w:r>
    </w:p>
    <w:tbl>
      <w:tblPr>
        <w:tblW w:w="0" w:type="auto"/>
        <w:jc w:val="center"/>
        <w:tblBorders>
          <w:top w:val="single" w:sz="5" w:space="0" w:color="AAB7C4"/>
          <w:left w:val="single" w:sz="5" w:space="0" w:color="AAB7C4"/>
          <w:bottom w:val="single" w:sz="5" w:space="0" w:color="AAB7C4"/>
          <w:right w:val="single" w:sz="5" w:space="0" w:color="AAB7C4"/>
          <w:insideH w:val="single" w:sz="5" w:space="0" w:color="AAB7C4"/>
          <w:insideV w:val="single" w:sz="5" w:space="0" w:color="AAB7C4"/>
        </w:tblBorders>
        <w:tblLayout w:type="fixed"/>
        <w:tblLook w:val="04A0" w:firstRow="1" w:lastRow="0" w:firstColumn="1" w:lastColumn="0" w:noHBand="0" w:noVBand="1"/>
      </w:tblPr>
      <w:tblGrid>
        <w:gridCol w:w="3024"/>
        <w:gridCol w:w="6696"/>
      </w:tblGrid>
      <w:tr w:rsidR="008C6354" w14:paraId="0EDA4A20" w14:textId="77777777" w:rsidTr="54356DE5">
        <w:trPr>
          <w:cantSplit/>
          <w:tblHeader/>
          <w:jc w:val="center"/>
        </w:trPr>
        <w:tc>
          <w:tcPr>
            <w:tcW w:w="3024" w:type="dxa"/>
            <w:shd w:val="clear" w:color="auto" w:fill="1F4E79"/>
            <w:tcMar>
              <w:top w:w="100" w:type="dxa"/>
              <w:left w:w="130" w:type="dxa"/>
              <w:bottom w:w="100" w:type="dxa"/>
              <w:right w:w="130" w:type="dxa"/>
            </w:tcMar>
            <w:vAlign w:val="center"/>
          </w:tcPr>
          <w:p w14:paraId="6C588FF8" w14:textId="77777777" w:rsidR="008C6354" w:rsidRDefault="00AF57B7">
            <w:pPr>
              <w:spacing w:after="30" w:line="240" w:lineRule="auto"/>
            </w:pPr>
            <w:r>
              <w:rPr>
                <w:b/>
                <w:color w:val="FFFFFF"/>
                <w:sz w:val="18"/>
              </w:rPr>
              <w:t>Document Type</w:t>
            </w:r>
          </w:p>
        </w:tc>
        <w:tc>
          <w:tcPr>
            <w:tcW w:w="6696" w:type="dxa"/>
            <w:shd w:val="clear" w:color="auto" w:fill="1F4E79"/>
            <w:tcMar>
              <w:top w:w="100" w:type="dxa"/>
              <w:left w:w="130" w:type="dxa"/>
              <w:bottom w:w="100" w:type="dxa"/>
              <w:right w:w="130" w:type="dxa"/>
            </w:tcMar>
            <w:vAlign w:val="center"/>
          </w:tcPr>
          <w:p w14:paraId="1C9803E6" w14:textId="77777777" w:rsidR="008C6354" w:rsidRDefault="00AF57B7">
            <w:pPr>
              <w:spacing w:after="30" w:line="240" w:lineRule="auto"/>
            </w:pPr>
            <w:r>
              <w:rPr>
                <w:b/>
                <w:color w:val="FFFFFF"/>
                <w:sz w:val="18"/>
              </w:rPr>
              <w:t>Request for Proposals / Statement of Work</w:t>
            </w:r>
          </w:p>
        </w:tc>
      </w:tr>
      <w:tr w:rsidR="008C6354" w14:paraId="54D09BA7" w14:textId="77777777" w:rsidTr="54356DE5">
        <w:trPr>
          <w:cantSplit/>
          <w:jc w:val="center"/>
        </w:trPr>
        <w:tc>
          <w:tcPr>
            <w:tcW w:w="3024" w:type="dxa"/>
            <w:shd w:val="clear" w:color="auto" w:fill="1F4E79"/>
            <w:tcMar>
              <w:top w:w="100" w:type="dxa"/>
              <w:left w:w="130" w:type="dxa"/>
              <w:bottom w:w="100" w:type="dxa"/>
              <w:right w:w="130" w:type="dxa"/>
            </w:tcMar>
            <w:vAlign w:val="center"/>
          </w:tcPr>
          <w:p w14:paraId="675A709C" w14:textId="77777777" w:rsidR="008C6354" w:rsidRDefault="00AF57B7">
            <w:pPr>
              <w:spacing w:after="30" w:line="240" w:lineRule="auto"/>
            </w:pPr>
            <w:r>
              <w:rPr>
                <w:b/>
                <w:color w:val="FFFFFF"/>
                <w:sz w:val="18"/>
              </w:rPr>
              <w:t>Geographic Scope</w:t>
            </w:r>
          </w:p>
        </w:tc>
        <w:tc>
          <w:tcPr>
            <w:tcW w:w="6696" w:type="dxa"/>
            <w:tcMar>
              <w:top w:w="100" w:type="dxa"/>
              <w:left w:w="130" w:type="dxa"/>
              <w:bottom w:w="100" w:type="dxa"/>
              <w:right w:w="130" w:type="dxa"/>
            </w:tcMar>
            <w:vAlign w:val="center"/>
          </w:tcPr>
          <w:p w14:paraId="139EF95A" w14:textId="0CB72D78" w:rsidR="008C6354" w:rsidRDefault="009B1016" w:rsidP="54356DE5">
            <w:r w:rsidRPr="54356DE5">
              <w:rPr>
                <w:sz w:val="18"/>
                <w:szCs w:val="18"/>
              </w:rPr>
              <w:t>Partner</w:t>
            </w:r>
            <w:r>
              <w:rPr>
                <w:sz w:val="18"/>
              </w:rPr>
              <w:t xml:space="preserve"> countries </w:t>
            </w:r>
            <w:r w:rsidRPr="54356DE5">
              <w:rPr>
                <w:sz w:val="18"/>
                <w:szCs w:val="18"/>
              </w:rPr>
              <w:t>within</w:t>
            </w:r>
            <w:r>
              <w:rPr>
                <w:sz w:val="18"/>
              </w:rPr>
              <w:t xml:space="preserve"> Europe and Eurasia, East Asia and </w:t>
            </w:r>
            <w:r w:rsidRPr="54356DE5">
              <w:rPr>
                <w:sz w:val="18"/>
                <w:szCs w:val="18"/>
              </w:rPr>
              <w:t xml:space="preserve">the </w:t>
            </w:r>
            <w:r>
              <w:rPr>
                <w:sz w:val="18"/>
              </w:rPr>
              <w:t>Pacific, South and Central Asia</w:t>
            </w:r>
            <w:r w:rsidRPr="54356DE5">
              <w:rPr>
                <w:sz w:val="18"/>
                <w:szCs w:val="18"/>
              </w:rPr>
              <w:t>,</w:t>
            </w:r>
            <w:r>
              <w:rPr>
                <w:sz w:val="18"/>
              </w:rPr>
              <w:t xml:space="preserve"> and </w:t>
            </w:r>
            <w:r w:rsidRPr="54356DE5">
              <w:rPr>
                <w:sz w:val="18"/>
                <w:szCs w:val="18"/>
              </w:rPr>
              <w:t xml:space="preserve">the </w:t>
            </w:r>
            <w:r>
              <w:rPr>
                <w:sz w:val="18"/>
              </w:rPr>
              <w:t>Western Hemisphere</w:t>
            </w:r>
          </w:p>
        </w:tc>
      </w:tr>
      <w:tr w:rsidR="008C6354" w14:paraId="0FB30BB6" w14:textId="77777777" w:rsidTr="54356DE5">
        <w:trPr>
          <w:cantSplit/>
          <w:jc w:val="center"/>
        </w:trPr>
        <w:tc>
          <w:tcPr>
            <w:tcW w:w="3024" w:type="dxa"/>
            <w:shd w:val="clear" w:color="auto" w:fill="1F4E79"/>
            <w:tcMar>
              <w:top w:w="100" w:type="dxa"/>
              <w:left w:w="130" w:type="dxa"/>
              <w:bottom w:w="100" w:type="dxa"/>
              <w:right w:w="130" w:type="dxa"/>
            </w:tcMar>
            <w:vAlign w:val="center"/>
          </w:tcPr>
          <w:p w14:paraId="61F04B14" w14:textId="77777777" w:rsidR="008C6354" w:rsidRDefault="00AF57B7">
            <w:pPr>
              <w:spacing w:after="30" w:line="240" w:lineRule="auto"/>
            </w:pPr>
            <w:r>
              <w:rPr>
                <w:b/>
                <w:color w:val="FFFFFF"/>
                <w:sz w:val="18"/>
              </w:rPr>
              <w:t>Anticipated Period of Performance</w:t>
            </w:r>
          </w:p>
        </w:tc>
        <w:tc>
          <w:tcPr>
            <w:tcW w:w="6696" w:type="dxa"/>
            <w:shd w:val="clear" w:color="auto" w:fill="EEF4F8"/>
            <w:tcMar>
              <w:top w:w="100" w:type="dxa"/>
              <w:left w:w="130" w:type="dxa"/>
              <w:bottom w:w="100" w:type="dxa"/>
              <w:right w:w="130" w:type="dxa"/>
            </w:tcMar>
            <w:vAlign w:val="center"/>
          </w:tcPr>
          <w:p w14:paraId="5A7D304E" w14:textId="1BCD4B80" w:rsidR="008C6354" w:rsidRDefault="00762E03" w:rsidP="54356DE5">
            <w:r>
              <w:rPr>
                <w:sz w:val="18"/>
              </w:rPr>
              <w:t xml:space="preserve">Approximately 6 to 12 months from </w:t>
            </w:r>
            <w:r w:rsidR="45D4FE99" w:rsidRPr="54356DE5">
              <w:rPr>
                <w:sz w:val="18"/>
                <w:szCs w:val="18"/>
              </w:rPr>
              <w:t>contract execution</w:t>
            </w:r>
            <w:r>
              <w:rPr>
                <w:sz w:val="18"/>
              </w:rPr>
              <w:t>, with optional extensions</w:t>
            </w:r>
            <w:r w:rsidR="45D4FE99" w:rsidRPr="54356DE5">
              <w:rPr>
                <w:sz w:val="18"/>
                <w:szCs w:val="18"/>
              </w:rPr>
              <w:t xml:space="preserve"> as determined by CRDF Global</w:t>
            </w:r>
          </w:p>
        </w:tc>
      </w:tr>
      <w:tr w:rsidR="008C6354" w14:paraId="4AF795ED" w14:textId="77777777" w:rsidTr="54356DE5">
        <w:trPr>
          <w:cantSplit/>
          <w:jc w:val="center"/>
        </w:trPr>
        <w:tc>
          <w:tcPr>
            <w:tcW w:w="3024" w:type="dxa"/>
            <w:shd w:val="clear" w:color="auto" w:fill="1F4E79"/>
            <w:tcMar>
              <w:top w:w="100" w:type="dxa"/>
              <w:left w:w="130" w:type="dxa"/>
              <w:bottom w:w="100" w:type="dxa"/>
              <w:right w:w="130" w:type="dxa"/>
            </w:tcMar>
            <w:vAlign w:val="center"/>
          </w:tcPr>
          <w:p w14:paraId="62D503C1" w14:textId="77777777" w:rsidR="008C6354" w:rsidRDefault="00AF57B7">
            <w:pPr>
              <w:spacing w:after="30" w:line="240" w:lineRule="auto"/>
            </w:pPr>
            <w:r>
              <w:rPr>
                <w:b/>
                <w:color w:val="FFFFFF"/>
                <w:sz w:val="18"/>
              </w:rPr>
              <w:t>Contracting Approach</w:t>
            </w:r>
          </w:p>
        </w:tc>
        <w:tc>
          <w:tcPr>
            <w:tcW w:w="6696" w:type="dxa"/>
            <w:tcMar>
              <w:top w:w="100" w:type="dxa"/>
              <w:left w:w="130" w:type="dxa"/>
              <w:bottom w:w="100" w:type="dxa"/>
              <w:right w:w="130" w:type="dxa"/>
            </w:tcMar>
            <w:vAlign w:val="center"/>
          </w:tcPr>
          <w:p w14:paraId="20FDFDA0" w14:textId="77777777" w:rsidR="008C6354" w:rsidRDefault="00AF57B7">
            <w:pPr>
              <w:spacing w:after="30" w:line="240" w:lineRule="auto"/>
            </w:pPr>
            <w:r>
              <w:rPr>
                <w:sz w:val="18"/>
              </w:rPr>
              <w:t>Flexible: fixed price, task order, or other structure as determined by CRDF Global</w:t>
            </w:r>
          </w:p>
        </w:tc>
      </w:tr>
    </w:tbl>
    <w:p w14:paraId="7AD5C4C5" w14:textId="77777777" w:rsidR="008C6354" w:rsidRDefault="00AF57B7">
      <w:pPr>
        <w:pStyle w:val="Heading1"/>
        <w:pageBreakBefore/>
      </w:pPr>
      <w:r>
        <w:lastRenderedPageBreak/>
        <w:t>1. Background</w:t>
      </w:r>
    </w:p>
    <w:p w14:paraId="4A3AE664" w14:textId="1A78A6CA" w:rsidR="006073F8" w:rsidRDefault="00762E03" w:rsidP="00B67764">
      <w:pPr>
        <w:jc w:val="both"/>
      </w:pPr>
      <w:r>
        <w:t xml:space="preserve">CRDF Global seeks a qualified </w:t>
      </w:r>
      <w:r w:rsidR="40F48570">
        <w:t>offeror</w:t>
      </w:r>
      <w:r>
        <w:t xml:space="preserve"> to conduct technical analyses of defense capability requirements and needs for partner nations seeking to modernize military forces, improve interoperability with the United States and allied partners, diversify defense procurement options, and reduce reliance on risky and destabilizing arms suppliers.</w:t>
      </w:r>
    </w:p>
    <w:p w14:paraId="46A6A62E" w14:textId="77777777" w:rsidR="008C6354" w:rsidRDefault="00AF57B7" w:rsidP="00B67764">
      <w:pPr>
        <w:jc w:val="both"/>
      </w:pPr>
      <w:r>
        <w:t xml:space="preserve">Countries of engagement may </w:t>
      </w:r>
      <w:proofErr w:type="gramStart"/>
      <w:r>
        <w:t>be located in</w:t>
      </w:r>
      <w:proofErr w:type="gramEnd"/>
      <w:r>
        <w:t xml:space="preserve"> the following regions:</w:t>
      </w:r>
    </w:p>
    <w:p w14:paraId="0241FF5E" w14:textId="77777777" w:rsidR="008C6354" w:rsidRDefault="00AF57B7" w:rsidP="00B67764">
      <w:pPr>
        <w:pStyle w:val="ListBullet"/>
        <w:jc w:val="both"/>
      </w:pPr>
      <w:r>
        <w:t>Europe and Eurasia (EUR)</w:t>
      </w:r>
    </w:p>
    <w:p w14:paraId="38EE65A8" w14:textId="77777777" w:rsidR="008C6354" w:rsidRDefault="00AF57B7" w:rsidP="00B67764">
      <w:pPr>
        <w:pStyle w:val="ListBullet"/>
        <w:jc w:val="both"/>
      </w:pPr>
      <w:r>
        <w:t>East Asia and the Pacific (EAP)</w:t>
      </w:r>
    </w:p>
    <w:p w14:paraId="2CBEB3D4" w14:textId="77777777" w:rsidR="008C6354" w:rsidRDefault="00AF57B7" w:rsidP="00B67764">
      <w:pPr>
        <w:pStyle w:val="ListBullet"/>
        <w:jc w:val="both"/>
      </w:pPr>
      <w:r>
        <w:t>South and Central Asia (SCA)</w:t>
      </w:r>
    </w:p>
    <w:p w14:paraId="2B0595AC" w14:textId="77777777" w:rsidR="008C6354" w:rsidRDefault="00AF57B7" w:rsidP="00B67764">
      <w:pPr>
        <w:pStyle w:val="ListBullet"/>
        <w:jc w:val="both"/>
      </w:pPr>
      <w:r>
        <w:t>Western Hemisphere (WHA)</w:t>
      </w:r>
    </w:p>
    <w:p w14:paraId="6A11B5A4" w14:textId="5043DB83" w:rsidR="006073F8" w:rsidRDefault="00762E03" w:rsidP="00B67764">
      <w:pPr>
        <w:jc w:val="both"/>
      </w:pPr>
      <w:r>
        <w:t xml:space="preserve">The offeror shall provide subject matter expertise, technical assessments, market research, force modernization analysis, and defense capability evaluations to assist partner nations </w:t>
      </w:r>
      <w:r w:rsidR="003B2AC8">
        <w:t xml:space="preserve">within the regions identified above </w:t>
      </w:r>
      <w:r>
        <w:t>in assessing alternatives to existing defense systems and identifying appropriate U.S. and allied solutions.</w:t>
      </w:r>
    </w:p>
    <w:p w14:paraId="42B21C71" w14:textId="77777777" w:rsidR="008C6354" w:rsidRDefault="00AF57B7" w:rsidP="00B67764">
      <w:pPr>
        <w:pStyle w:val="Heading1"/>
        <w:jc w:val="both"/>
      </w:pPr>
      <w:r>
        <w:t>2. Period of Performance</w:t>
      </w:r>
    </w:p>
    <w:p w14:paraId="45F9E514" w14:textId="42321862" w:rsidR="008C6354" w:rsidRDefault="00AF57B7" w:rsidP="00B67764">
      <w:pPr>
        <w:jc w:val="both"/>
      </w:pPr>
      <w:r>
        <w:t xml:space="preserve">The anticipated Period of Performance shall be approximately 6 to 12 months from </w:t>
      </w:r>
      <w:r w:rsidR="00DF2F28">
        <w:t>signing the contract</w:t>
      </w:r>
      <w:r>
        <w:t>. Specific start and end dates will be identified in the final award or task order.</w:t>
      </w:r>
    </w:p>
    <w:p w14:paraId="1ED61BCA" w14:textId="77777777" w:rsidR="008C6354" w:rsidRDefault="00AF57B7" w:rsidP="00B67764">
      <w:pPr>
        <w:jc w:val="both"/>
      </w:pPr>
      <w:r>
        <w:t>CRDF Global reserves the right to add additional countries, capability areas, studies, tasks, or option periods during contract performance, subject to the terms of the award.</w:t>
      </w:r>
    </w:p>
    <w:p w14:paraId="16F4E0F6" w14:textId="77777777" w:rsidR="008C6354" w:rsidRDefault="00AF57B7" w:rsidP="00B67764">
      <w:pPr>
        <w:pStyle w:val="Heading1"/>
        <w:jc w:val="both"/>
      </w:pPr>
      <w:r>
        <w:t>3. Scope of Work</w:t>
      </w:r>
    </w:p>
    <w:p w14:paraId="4B670945" w14:textId="1842227F" w:rsidR="008C6354" w:rsidRDefault="00030F4E" w:rsidP="00B67764">
      <w:pPr>
        <w:jc w:val="both"/>
      </w:pPr>
      <w:r>
        <w:t>The offeror</w:t>
      </w:r>
      <w:r w:rsidR="00AF57B7">
        <w:t xml:space="preserve"> shall provide research, analysis, technical expertise, and advisory support associated with defense modernization, capability development, defense procurement, and security cooperation activities. Analyses may address one or more partner countries, regions, or military capability domains.</w:t>
      </w:r>
    </w:p>
    <w:p w14:paraId="4ADB75FB" w14:textId="77777777" w:rsidR="008C6354" w:rsidRDefault="00AF57B7" w:rsidP="00B67764">
      <w:pPr>
        <w:pStyle w:val="Heading2"/>
        <w:jc w:val="both"/>
      </w:pPr>
      <w:r>
        <w:t>3.1 Representative Military Capability Domains</w:t>
      </w:r>
    </w:p>
    <w:p w14:paraId="6049F6D2" w14:textId="77777777" w:rsidR="008C6354" w:rsidRDefault="00AF57B7" w:rsidP="00B67764">
      <w:pPr>
        <w:jc w:val="both"/>
      </w:pPr>
      <w:r>
        <w:t>Potential areas of weapons and capability analysis include, but are not limited to, the domains below. These reflect common categories used in defense modernization, procurement analysis, foreign military sales support, and force development studies.</w:t>
      </w:r>
    </w:p>
    <w:tbl>
      <w:tblPr>
        <w:tblW w:w="0" w:type="auto"/>
        <w:jc w:val="center"/>
        <w:tblBorders>
          <w:top w:val="single" w:sz="5" w:space="0" w:color="AAB7C4"/>
          <w:left w:val="single" w:sz="5" w:space="0" w:color="AAB7C4"/>
          <w:bottom w:val="single" w:sz="5" w:space="0" w:color="AAB7C4"/>
          <w:right w:val="single" w:sz="5" w:space="0" w:color="AAB7C4"/>
          <w:insideH w:val="single" w:sz="5" w:space="0" w:color="AAB7C4"/>
          <w:insideV w:val="single" w:sz="5" w:space="0" w:color="AAB7C4"/>
        </w:tblBorders>
        <w:tblLayout w:type="fixed"/>
        <w:tblLook w:val="04A0" w:firstRow="1" w:lastRow="0" w:firstColumn="1" w:lastColumn="0" w:noHBand="0" w:noVBand="1"/>
      </w:tblPr>
      <w:tblGrid>
        <w:gridCol w:w="3384"/>
        <w:gridCol w:w="6336"/>
      </w:tblGrid>
      <w:tr w:rsidR="008C6354" w14:paraId="0190C07A" w14:textId="77777777" w:rsidTr="3280430B">
        <w:trPr>
          <w:cantSplit/>
          <w:tblHeader/>
          <w:jc w:val="center"/>
        </w:trPr>
        <w:tc>
          <w:tcPr>
            <w:tcW w:w="3384" w:type="dxa"/>
            <w:shd w:val="clear" w:color="auto" w:fill="1F4E79"/>
            <w:tcMar>
              <w:top w:w="100" w:type="dxa"/>
              <w:left w:w="130" w:type="dxa"/>
              <w:bottom w:w="100" w:type="dxa"/>
              <w:right w:w="130" w:type="dxa"/>
            </w:tcMar>
            <w:vAlign w:val="center"/>
          </w:tcPr>
          <w:p w14:paraId="108ED1ED" w14:textId="77777777" w:rsidR="008C6354" w:rsidRDefault="00AF57B7">
            <w:pPr>
              <w:spacing w:after="30" w:line="240" w:lineRule="auto"/>
            </w:pPr>
            <w:r>
              <w:rPr>
                <w:b/>
                <w:color w:val="FFFFFF"/>
                <w:sz w:val="18"/>
              </w:rPr>
              <w:t>Domain</w:t>
            </w:r>
          </w:p>
        </w:tc>
        <w:tc>
          <w:tcPr>
            <w:tcW w:w="6336" w:type="dxa"/>
            <w:shd w:val="clear" w:color="auto" w:fill="1F4E79"/>
            <w:tcMar>
              <w:top w:w="100" w:type="dxa"/>
              <w:left w:w="130" w:type="dxa"/>
              <w:bottom w:w="100" w:type="dxa"/>
              <w:right w:w="130" w:type="dxa"/>
            </w:tcMar>
            <w:vAlign w:val="center"/>
          </w:tcPr>
          <w:p w14:paraId="52181955" w14:textId="77777777" w:rsidR="008C6354" w:rsidRDefault="00AF57B7">
            <w:pPr>
              <w:spacing w:after="30" w:line="240" w:lineRule="auto"/>
            </w:pPr>
            <w:r>
              <w:rPr>
                <w:b/>
                <w:color w:val="FFFFFF"/>
                <w:sz w:val="18"/>
              </w:rPr>
              <w:t>Illustrative Analysis Topics</w:t>
            </w:r>
          </w:p>
        </w:tc>
      </w:tr>
      <w:tr w:rsidR="008C6354" w14:paraId="1E6329DD" w14:textId="77777777" w:rsidTr="3280430B">
        <w:trPr>
          <w:cantSplit/>
          <w:jc w:val="center"/>
        </w:trPr>
        <w:tc>
          <w:tcPr>
            <w:tcW w:w="3384" w:type="dxa"/>
            <w:tcMar>
              <w:top w:w="100" w:type="dxa"/>
              <w:left w:w="130" w:type="dxa"/>
              <w:bottom w:w="100" w:type="dxa"/>
              <w:right w:w="130" w:type="dxa"/>
            </w:tcMar>
            <w:vAlign w:val="center"/>
          </w:tcPr>
          <w:p w14:paraId="2934BFB2" w14:textId="77777777" w:rsidR="008C6354" w:rsidRDefault="00AF57B7">
            <w:pPr>
              <w:spacing w:after="30" w:line="240" w:lineRule="auto"/>
            </w:pPr>
            <w:r>
              <w:rPr>
                <w:b/>
                <w:color w:val="1F4E79"/>
                <w:sz w:val="18"/>
              </w:rPr>
              <w:t>Air and Missile Defense</w:t>
            </w:r>
          </w:p>
        </w:tc>
        <w:tc>
          <w:tcPr>
            <w:tcW w:w="6336" w:type="dxa"/>
            <w:tcMar>
              <w:top w:w="100" w:type="dxa"/>
              <w:left w:w="130" w:type="dxa"/>
              <w:bottom w:w="100" w:type="dxa"/>
              <w:right w:w="130" w:type="dxa"/>
            </w:tcMar>
            <w:vAlign w:val="center"/>
          </w:tcPr>
          <w:p w14:paraId="67AACC0E" w14:textId="77777777" w:rsidR="008C6354" w:rsidRDefault="00AF57B7">
            <w:pPr>
              <w:spacing w:after="30" w:line="240" w:lineRule="auto"/>
            </w:pPr>
            <w:r>
              <w:rPr>
                <w:sz w:val="18"/>
              </w:rPr>
              <w:t>Integrated air and missile defense, short-, medium-, and long-range systems, counter-cruise missile capabilities, layered defense architectures, sensors, battle management, command and control integration.</w:t>
            </w:r>
          </w:p>
        </w:tc>
      </w:tr>
      <w:tr w:rsidR="008C6354" w14:paraId="53EA8411" w14:textId="77777777" w:rsidTr="3280430B">
        <w:trPr>
          <w:cantSplit/>
          <w:jc w:val="center"/>
        </w:trPr>
        <w:tc>
          <w:tcPr>
            <w:tcW w:w="3384" w:type="dxa"/>
            <w:shd w:val="clear" w:color="auto" w:fill="EEF4F8"/>
            <w:tcMar>
              <w:top w:w="100" w:type="dxa"/>
              <w:left w:w="130" w:type="dxa"/>
              <w:bottom w:w="100" w:type="dxa"/>
              <w:right w:w="130" w:type="dxa"/>
            </w:tcMar>
            <w:vAlign w:val="center"/>
          </w:tcPr>
          <w:p w14:paraId="5D49CD50" w14:textId="5EC126DE" w:rsidR="008C6354" w:rsidRDefault="00E754DE">
            <w:pPr>
              <w:spacing w:after="30" w:line="240" w:lineRule="auto"/>
            </w:pPr>
            <w:r w:rsidRPr="00E754DE">
              <w:rPr>
                <w:b/>
                <w:color w:val="1F4E79"/>
                <w:sz w:val="18"/>
              </w:rPr>
              <w:t>Counter-Unmanned Aircraft Systems (C-UAS)</w:t>
            </w:r>
          </w:p>
        </w:tc>
        <w:tc>
          <w:tcPr>
            <w:tcW w:w="6336" w:type="dxa"/>
            <w:shd w:val="clear" w:color="auto" w:fill="EEF4F8"/>
            <w:tcMar>
              <w:top w:w="100" w:type="dxa"/>
              <w:left w:w="130" w:type="dxa"/>
              <w:bottom w:w="100" w:type="dxa"/>
              <w:right w:w="130" w:type="dxa"/>
            </w:tcMar>
            <w:vAlign w:val="center"/>
          </w:tcPr>
          <w:p w14:paraId="73566195" w14:textId="77777777" w:rsidR="008C6354" w:rsidRDefault="00AF57B7">
            <w:pPr>
              <w:spacing w:after="30" w:line="240" w:lineRule="auto"/>
            </w:pPr>
            <w:r>
              <w:rPr>
                <w:sz w:val="18"/>
              </w:rPr>
              <w:t>Detection, tracking, identification, and defeat capabilities for small, medium, and larger unmanned aircraft systems, including kinetic, electronic, directed energy, and integrated force protection approaches.</w:t>
            </w:r>
          </w:p>
        </w:tc>
      </w:tr>
      <w:tr w:rsidR="008C6354" w14:paraId="1524DA28" w14:textId="77777777" w:rsidTr="3280430B">
        <w:trPr>
          <w:cantSplit/>
          <w:jc w:val="center"/>
        </w:trPr>
        <w:tc>
          <w:tcPr>
            <w:tcW w:w="3384" w:type="dxa"/>
            <w:tcMar>
              <w:top w:w="100" w:type="dxa"/>
              <w:left w:w="130" w:type="dxa"/>
              <w:bottom w:w="100" w:type="dxa"/>
              <w:right w:w="130" w:type="dxa"/>
            </w:tcMar>
            <w:vAlign w:val="center"/>
          </w:tcPr>
          <w:p w14:paraId="66D97297" w14:textId="48D7E34D" w:rsidR="008C6354" w:rsidRDefault="00932374">
            <w:pPr>
              <w:spacing w:after="30" w:line="240" w:lineRule="auto"/>
            </w:pPr>
            <w:r w:rsidRPr="00932374">
              <w:rPr>
                <w:b/>
                <w:color w:val="1F4E79"/>
                <w:sz w:val="18"/>
              </w:rPr>
              <w:t>Electronic Warfare and Electromagnetic Spectrum Operations</w:t>
            </w:r>
          </w:p>
        </w:tc>
        <w:tc>
          <w:tcPr>
            <w:tcW w:w="6336" w:type="dxa"/>
            <w:tcMar>
              <w:top w:w="100" w:type="dxa"/>
              <w:left w:w="130" w:type="dxa"/>
              <w:bottom w:w="100" w:type="dxa"/>
              <w:right w:w="130" w:type="dxa"/>
            </w:tcMar>
            <w:vAlign w:val="center"/>
          </w:tcPr>
          <w:p w14:paraId="3F0DF2B5" w14:textId="77777777" w:rsidR="008C6354" w:rsidRDefault="00AF57B7">
            <w:pPr>
              <w:spacing w:after="30" w:line="240" w:lineRule="auto"/>
            </w:pPr>
            <w:r>
              <w:rPr>
                <w:sz w:val="18"/>
              </w:rPr>
              <w:t>Electronic support, electronic attack, electronic protection, spectrum management, signals intelligence support, electromagnetic resilience, and contested communications considerations.</w:t>
            </w:r>
          </w:p>
        </w:tc>
      </w:tr>
      <w:tr w:rsidR="008C6354" w14:paraId="286CF406" w14:textId="77777777" w:rsidTr="3280430B">
        <w:trPr>
          <w:cantSplit/>
          <w:jc w:val="center"/>
        </w:trPr>
        <w:tc>
          <w:tcPr>
            <w:tcW w:w="3384" w:type="dxa"/>
            <w:shd w:val="clear" w:color="auto" w:fill="EEF4F8"/>
            <w:tcMar>
              <w:top w:w="100" w:type="dxa"/>
              <w:left w:w="130" w:type="dxa"/>
              <w:bottom w:w="100" w:type="dxa"/>
              <w:right w:w="130" w:type="dxa"/>
            </w:tcMar>
            <w:vAlign w:val="center"/>
          </w:tcPr>
          <w:p w14:paraId="41D1E030" w14:textId="147E815B" w:rsidR="008C6354" w:rsidRDefault="00AF57B7">
            <w:pPr>
              <w:spacing w:after="30" w:line="240" w:lineRule="auto"/>
            </w:pPr>
            <w:r>
              <w:rPr>
                <w:b/>
                <w:color w:val="1F4E79"/>
                <w:sz w:val="18"/>
              </w:rPr>
              <w:t>Intelligence, Surveillance, and Reconnaissance</w:t>
            </w:r>
            <w:r w:rsidR="006D03C6">
              <w:rPr>
                <w:b/>
                <w:color w:val="1F4E79"/>
                <w:sz w:val="18"/>
              </w:rPr>
              <w:t xml:space="preserve"> (ISR)</w:t>
            </w:r>
          </w:p>
        </w:tc>
        <w:tc>
          <w:tcPr>
            <w:tcW w:w="6336" w:type="dxa"/>
            <w:shd w:val="clear" w:color="auto" w:fill="EEF4F8"/>
            <w:tcMar>
              <w:top w:w="100" w:type="dxa"/>
              <w:left w:w="130" w:type="dxa"/>
              <w:bottom w:w="100" w:type="dxa"/>
              <w:right w:w="130" w:type="dxa"/>
            </w:tcMar>
            <w:vAlign w:val="center"/>
          </w:tcPr>
          <w:p w14:paraId="2B9258FF" w14:textId="77777777" w:rsidR="008C6354" w:rsidRDefault="00AF57B7">
            <w:pPr>
              <w:spacing w:after="30" w:line="240" w:lineRule="auto"/>
            </w:pPr>
            <w:r>
              <w:rPr>
                <w:sz w:val="18"/>
              </w:rPr>
              <w:t>Strategic and tactical ISR capabilities, persistent surveillance, multi-domain sensing architectures, data fusion, processing, exploitation, dissemination, and intelligence analysis support.</w:t>
            </w:r>
          </w:p>
        </w:tc>
      </w:tr>
      <w:tr w:rsidR="008C6354" w14:paraId="7F1A2EA0" w14:textId="77777777" w:rsidTr="3280430B">
        <w:trPr>
          <w:cantSplit/>
          <w:jc w:val="center"/>
        </w:trPr>
        <w:tc>
          <w:tcPr>
            <w:tcW w:w="3384" w:type="dxa"/>
            <w:tcMar>
              <w:top w:w="100" w:type="dxa"/>
              <w:left w:w="130" w:type="dxa"/>
              <w:bottom w:w="100" w:type="dxa"/>
              <w:right w:w="130" w:type="dxa"/>
            </w:tcMar>
            <w:vAlign w:val="center"/>
          </w:tcPr>
          <w:p w14:paraId="76DA454C" w14:textId="16B82DE1" w:rsidR="008C6354" w:rsidRDefault="00932374">
            <w:pPr>
              <w:spacing w:after="30" w:line="240" w:lineRule="auto"/>
            </w:pPr>
            <w:r w:rsidRPr="00932374">
              <w:rPr>
                <w:b/>
                <w:color w:val="1F4E79"/>
                <w:sz w:val="18"/>
              </w:rPr>
              <w:t>Command, Control, Communications, Computers, Cyber, Intelligence, Surveillance, and Reconnaissance (C5ISR)</w:t>
            </w:r>
          </w:p>
        </w:tc>
        <w:tc>
          <w:tcPr>
            <w:tcW w:w="6336" w:type="dxa"/>
            <w:tcMar>
              <w:top w:w="100" w:type="dxa"/>
              <w:left w:w="130" w:type="dxa"/>
              <w:bottom w:w="100" w:type="dxa"/>
              <w:right w:w="130" w:type="dxa"/>
            </w:tcMar>
            <w:vAlign w:val="center"/>
          </w:tcPr>
          <w:p w14:paraId="2EA15A83" w14:textId="77777777" w:rsidR="008C6354" w:rsidRDefault="00AF57B7">
            <w:pPr>
              <w:spacing w:after="30" w:line="240" w:lineRule="auto"/>
            </w:pPr>
            <w:r>
              <w:rPr>
                <w:sz w:val="18"/>
              </w:rPr>
              <w:t>Command and control architectures, tactical communications, network modernization, interoperability, common operating pictures, data transport, and mission command systems.</w:t>
            </w:r>
          </w:p>
        </w:tc>
      </w:tr>
      <w:tr w:rsidR="008C6354" w14:paraId="13A2D1BD" w14:textId="77777777" w:rsidTr="3280430B">
        <w:trPr>
          <w:cantSplit/>
          <w:jc w:val="center"/>
        </w:trPr>
        <w:tc>
          <w:tcPr>
            <w:tcW w:w="3384" w:type="dxa"/>
            <w:shd w:val="clear" w:color="auto" w:fill="EEF4F8"/>
            <w:tcMar>
              <w:top w:w="100" w:type="dxa"/>
              <w:left w:w="130" w:type="dxa"/>
              <w:bottom w:w="100" w:type="dxa"/>
              <w:right w:w="130" w:type="dxa"/>
            </w:tcMar>
            <w:vAlign w:val="center"/>
          </w:tcPr>
          <w:p w14:paraId="2A7BA491" w14:textId="77777777" w:rsidR="008C6354" w:rsidRDefault="00AF57B7">
            <w:pPr>
              <w:spacing w:after="30" w:line="240" w:lineRule="auto"/>
            </w:pPr>
            <w:r>
              <w:rPr>
                <w:b/>
                <w:color w:val="1F4E79"/>
                <w:sz w:val="18"/>
              </w:rPr>
              <w:lastRenderedPageBreak/>
              <w:t>Precision Fires and Long-Range Strike</w:t>
            </w:r>
          </w:p>
        </w:tc>
        <w:tc>
          <w:tcPr>
            <w:tcW w:w="6336" w:type="dxa"/>
            <w:shd w:val="clear" w:color="auto" w:fill="EEF4F8"/>
            <w:tcMar>
              <w:top w:w="100" w:type="dxa"/>
              <w:left w:w="130" w:type="dxa"/>
              <w:bottom w:w="100" w:type="dxa"/>
              <w:right w:w="130" w:type="dxa"/>
            </w:tcMar>
            <w:vAlign w:val="center"/>
          </w:tcPr>
          <w:p w14:paraId="64650CA4" w14:textId="77777777" w:rsidR="008C6354" w:rsidRDefault="00AF57B7" w:rsidP="001931C6">
            <w:pPr>
              <w:spacing w:after="30" w:line="240" w:lineRule="auto"/>
              <w:jc w:val="both"/>
            </w:pPr>
            <w:r>
              <w:rPr>
                <w:sz w:val="18"/>
              </w:rPr>
              <w:t>Indirect fires, rockets, artillery, missiles, target acquisition, fire control, long-range precision engagement, counter-battery capabilities, and munitions interoperability.</w:t>
            </w:r>
          </w:p>
        </w:tc>
      </w:tr>
      <w:tr w:rsidR="008C6354" w14:paraId="5AFE8932" w14:textId="77777777" w:rsidTr="3280430B">
        <w:trPr>
          <w:cantSplit/>
          <w:jc w:val="center"/>
        </w:trPr>
        <w:tc>
          <w:tcPr>
            <w:tcW w:w="3384" w:type="dxa"/>
            <w:tcMar>
              <w:top w:w="100" w:type="dxa"/>
              <w:left w:w="130" w:type="dxa"/>
              <w:bottom w:w="100" w:type="dxa"/>
              <w:right w:w="130" w:type="dxa"/>
            </w:tcMar>
            <w:vAlign w:val="center"/>
          </w:tcPr>
          <w:p w14:paraId="6854F130" w14:textId="77777777" w:rsidR="008C6354" w:rsidRDefault="00AF57B7">
            <w:pPr>
              <w:spacing w:after="30" w:line="240" w:lineRule="auto"/>
            </w:pPr>
            <w:r>
              <w:rPr>
                <w:b/>
                <w:color w:val="1F4E79"/>
                <w:sz w:val="18"/>
              </w:rPr>
              <w:t>Ground Maneuver and Combat Vehicles</w:t>
            </w:r>
          </w:p>
        </w:tc>
        <w:tc>
          <w:tcPr>
            <w:tcW w:w="6336" w:type="dxa"/>
            <w:tcMar>
              <w:top w:w="100" w:type="dxa"/>
              <w:left w:w="130" w:type="dxa"/>
              <w:bottom w:w="100" w:type="dxa"/>
              <w:right w:w="130" w:type="dxa"/>
            </w:tcMar>
            <w:vAlign w:val="center"/>
          </w:tcPr>
          <w:p w14:paraId="1DB59AC0" w14:textId="77777777" w:rsidR="008C6354" w:rsidRDefault="00AF57B7" w:rsidP="001931C6">
            <w:pPr>
              <w:spacing w:after="30" w:line="240" w:lineRule="auto"/>
              <w:jc w:val="both"/>
            </w:pPr>
            <w:r>
              <w:rPr>
                <w:sz w:val="18"/>
              </w:rPr>
              <w:t>Armored vehicles, infantry fighting vehicles, mobility systems, anti-armor capabilities, protected mobility, crew survivability, modernization, and logistics implications.</w:t>
            </w:r>
          </w:p>
        </w:tc>
      </w:tr>
      <w:tr w:rsidR="008C6354" w14:paraId="1F855E51" w14:textId="77777777" w:rsidTr="005D48EF">
        <w:trPr>
          <w:cantSplit/>
          <w:trHeight w:val="885"/>
          <w:jc w:val="center"/>
        </w:trPr>
        <w:tc>
          <w:tcPr>
            <w:tcW w:w="3384" w:type="dxa"/>
            <w:shd w:val="clear" w:color="auto" w:fill="EEF4F8"/>
            <w:tcMar>
              <w:top w:w="100" w:type="dxa"/>
              <w:left w:w="130" w:type="dxa"/>
              <w:bottom w:w="100" w:type="dxa"/>
              <w:right w:w="130" w:type="dxa"/>
            </w:tcMar>
            <w:vAlign w:val="center"/>
          </w:tcPr>
          <w:p w14:paraId="0D0C03AE" w14:textId="23AA26C9" w:rsidR="008C6354" w:rsidRDefault="4F9F3B72" w:rsidP="005D48EF">
            <w:pPr>
              <w:spacing w:after="30" w:line="240" w:lineRule="auto"/>
              <w:rPr>
                <w:b/>
                <w:bCs/>
                <w:color w:val="1F4E79"/>
              </w:rPr>
            </w:pPr>
            <w:r w:rsidRPr="3280430B">
              <w:rPr>
                <w:b/>
                <w:bCs/>
                <w:color w:val="1F4E79"/>
                <w:sz w:val="18"/>
              </w:rPr>
              <w:t>Force Protection and Base Defense</w:t>
            </w:r>
          </w:p>
        </w:tc>
        <w:tc>
          <w:tcPr>
            <w:tcW w:w="6336" w:type="dxa"/>
            <w:shd w:val="clear" w:color="auto" w:fill="EEF4F8"/>
            <w:tcMar>
              <w:top w:w="100" w:type="dxa"/>
              <w:left w:w="130" w:type="dxa"/>
              <w:bottom w:w="100" w:type="dxa"/>
              <w:right w:w="130" w:type="dxa"/>
            </w:tcMar>
            <w:vAlign w:val="center"/>
          </w:tcPr>
          <w:p w14:paraId="793C75F0" w14:textId="5C28984A" w:rsidR="008C6354" w:rsidRDefault="4F9F3B72" w:rsidP="001931C6">
            <w:pPr>
              <w:spacing w:after="30" w:line="240" w:lineRule="auto"/>
              <w:jc w:val="both"/>
            </w:pPr>
            <w:r>
              <w:rPr>
                <w:sz w:val="18"/>
              </w:rPr>
              <w:t>Physical security, perimeter defense, counter-rocket, artillery and mortar capabilities, defensive sensors, integrated base defense, hardening, and critical asset protection.</w:t>
            </w:r>
          </w:p>
        </w:tc>
      </w:tr>
      <w:tr w:rsidR="008C6354" w14:paraId="6F1C0172" w14:textId="77777777" w:rsidTr="3280430B">
        <w:trPr>
          <w:cantSplit/>
          <w:jc w:val="center"/>
        </w:trPr>
        <w:tc>
          <w:tcPr>
            <w:tcW w:w="3384" w:type="dxa"/>
            <w:tcMar>
              <w:top w:w="100" w:type="dxa"/>
              <w:left w:w="130" w:type="dxa"/>
              <w:bottom w:w="100" w:type="dxa"/>
              <w:right w:w="130" w:type="dxa"/>
            </w:tcMar>
            <w:vAlign w:val="center"/>
          </w:tcPr>
          <w:p w14:paraId="63EE9D61" w14:textId="4FDBFFBB" w:rsidR="008C6354" w:rsidRPr="00EE6C3D" w:rsidRDefault="00AE61A3" w:rsidP="3280430B">
            <w:pPr>
              <w:spacing w:after="30" w:line="240" w:lineRule="auto"/>
              <w:rPr>
                <w:b/>
                <w:bCs/>
                <w:color w:val="1F4E79"/>
                <w:sz w:val="18"/>
              </w:rPr>
            </w:pPr>
            <w:r w:rsidRPr="002277DC">
              <w:rPr>
                <w:b/>
                <w:bCs/>
                <w:color w:val="1F4E79"/>
                <w:sz w:val="18"/>
              </w:rPr>
              <w:t>Maritime Security and Coastal Defense</w:t>
            </w:r>
            <w:r w:rsidR="005E1FB4">
              <w:rPr>
                <w:b/>
                <w:bCs/>
                <w:color w:val="1F4E79"/>
                <w:sz w:val="18"/>
              </w:rPr>
              <w:t xml:space="preserve"> / </w:t>
            </w:r>
            <w:r w:rsidR="0E10055D" w:rsidRPr="00EE6C3D">
              <w:rPr>
                <w:b/>
                <w:bCs/>
                <w:color w:val="1F4E79"/>
                <w:sz w:val="18"/>
              </w:rPr>
              <w:t>Maritime and Naval Capabilities</w:t>
            </w:r>
          </w:p>
          <w:p w14:paraId="5418810E" w14:textId="77777777" w:rsidR="008C6354" w:rsidRPr="002277DC" w:rsidRDefault="008C6354" w:rsidP="3280430B">
            <w:pPr>
              <w:spacing w:after="30" w:line="240" w:lineRule="auto"/>
              <w:rPr>
                <w:b/>
                <w:bCs/>
                <w:color w:val="1F4E79"/>
              </w:rPr>
            </w:pPr>
          </w:p>
        </w:tc>
        <w:tc>
          <w:tcPr>
            <w:tcW w:w="6336" w:type="dxa"/>
            <w:tcMar>
              <w:top w:w="100" w:type="dxa"/>
              <w:left w:w="130" w:type="dxa"/>
              <w:bottom w:w="100" w:type="dxa"/>
              <w:right w:w="130" w:type="dxa"/>
            </w:tcMar>
            <w:vAlign w:val="center"/>
          </w:tcPr>
          <w:p w14:paraId="08BBFDF7" w14:textId="3600BECE" w:rsidR="00B90247" w:rsidRPr="002277DC" w:rsidRDefault="00A6772A" w:rsidP="001931C6">
            <w:pPr>
              <w:spacing w:after="30" w:line="240" w:lineRule="auto"/>
              <w:jc w:val="both"/>
            </w:pPr>
            <w:r w:rsidRPr="00A6772A">
              <w:rPr>
                <w:sz w:val="18"/>
              </w:rPr>
              <w:t>Maritime domain awareness, coastal surveillance, port security, maritime interdiction, coastal defense, and protection of maritime infrastructure.</w:t>
            </w:r>
          </w:p>
          <w:p w14:paraId="7A361943" w14:textId="77777777" w:rsidR="00764E20" w:rsidRDefault="00764E20" w:rsidP="001931C6">
            <w:pPr>
              <w:spacing w:after="30" w:line="240" w:lineRule="auto"/>
              <w:jc w:val="both"/>
              <w:rPr>
                <w:sz w:val="18"/>
              </w:rPr>
            </w:pPr>
          </w:p>
          <w:p w14:paraId="60C7E152" w14:textId="2B368330" w:rsidR="008C6354" w:rsidRPr="002277DC" w:rsidRDefault="00A52B18" w:rsidP="001931C6">
            <w:pPr>
              <w:spacing w:after="30" w:line="240" w:lineRule="auto"/>
              <w:jc w:val="both"/>
            </w:pPr>
            <w:r w:rsidRPr="00A52B18">
              <w:rPr>
                <w:rFonts w:cs="Aptos"/>
                <w:sz w:val="18"/>
                <w:szCs w:val="21"/>
              </w:rPr>
              <w:t xml:space="preserve">Naval force modernization, maritime operations, surface and subsurface capabilities, naval aviation, unmanned maritime systems, </w:t>
            </w:r>
            <w:r w:rsidR="001931C6" w:rsidRPr="00A52B18">
              <w:rPr>
                <w:rFonts w:cs="Aptos"/>
                <w:sz w:val="18"/>
                <w:szCs w:val="21"/>
              </w:rPr>
              <w:t>anti-surface</w:t>
            </w:r>
            <w:r w:rsidRPr="00A52B18">
              <w:rPr>
                <w:rFonts w:cs="Aptos"/>
                <w:sz w:val="18"/>
                <w:szCs w:val="21"/>
              </w:rPr>
              <w:t xml:space="preserve"> warfare, maritime surveillance, and integration with U.S. and allied maritime operations.</w:t>
            </w:r>
          </w:p>
        </w:tc>
      </w:tr>
      <w:tr w:rsidR="008C6354" w14:paraId="4ED57385" w14:textId="77777777" w:rsidTr="3280430B">
        <w:trPr>
          <w:cantSplit/>
          <w:jc w:val="center"/>
        </w:trPr>
        <w:tc>
          <w:tcPr>
            <w:tcW w:w="3384" w:type="dxa"/>
            <w:shd w:val="clear" w:color="auto" w:fill="EEF4F8"/>
            <w:tcMar>
              <w:top w:w="100" w:type="dxa"/>
              <w:left w:w="130" w:type="dxa"/>
              <w:bottom w:w="100" w:type="dxa"/>
              <w:right w:w="130" w:type="dxa"/>
            </w:tcMar>
            <w:vAlign w:val="center"/>
          </w:tcPr>
          <w:p w14:paraId="6147F4C2" w14:textId="6B2A8077" w:rsidR="008C6354" w:rsidRPr="002277DC" w:rsidRDefault="00AF57B7" w:rsidP="000B09A3">
            <w:pPr>
              <w:spacing w:after="30" w:line="240" w:lineRule="auto"/>
              <w:rPr>
                <w:b/>
                <w:bCs/>
                <w:color w:val="1F4E79"/>
              </w:rPr>
            </w:pPr>
            <w:r w:rsidRPr="002277DC">
              <w:rPr>
                <w:b/>
                <w:bCs/>
                <w:color w:val="1F4E79"/>
                <w:sz w:val="18"/>
              </w:rPr>
              <w:t>Aviation and Air Mobility</w:t>
            </w:r>
            <w:r w:rsidR="0049033C" w:rsidRPr="002277DC">
              <w:rPr>
                <w:b/>
                <w:bCs/>
                <w:color w:val="1F4E79"/>
                <w:sz w:val="18"/>
              </w:rPr>
              <w:t xml:space="preserve"> </w:t>
            </w:r>
            <w:r w:rsidR="00B620BB">
              <w:rPr>
                <w:b/>
                <w:bCs/>
                <w:color w:val="1F4E79"/>
                <w:sz w:val="18"/>
              </w:rPr>
              <w:t xml:space="preserve">/ </w:t>
            </w:r>
            <w:r w:rsidR="6145C288" w:rsidRPr="009A5621">
              <w:rPr>
                <w:b/>
                <w:bCs/>
                <w:color w:val="1F4E79"/>
                <w:sz w:val="18"/>
              </w:rPr>
              <w:t>Airspace and Air Operations</w:t>
            </w:r>
          </w:p>
        </w:tc>
        <w:tc>
          <w:tcPr>
            <w:tcW w:w="6336" w:type="dxa"/>
            <w:shd w:val="clear" w:color="auto" w:fill="EEF4F8"/>
            <w:tcMar>
              <w:top w:w="100" w:type="dxa"/>
              <w:left w:w="130" w:type="dxa"/>
              <w:bottom w:w="100" w:type="dxa"/>
              <w:right w:w="130" w:type="dxa"/>
            </w:tcMar>
            <w:vAlign w:val="center"/>
          </w:tcPr>
          <w:p w14:paraId="41348B9F" w14:textId="1D25C274" w:rsidR="008C6354" w:rsidRPr="002277DC" w:rsidRDefault="00EA1750" w:rsidP="001931C6">
            <w:pPr>
              <w:spacing w:after="30" w:line="240" w:lineRule="auto"/>
              <w:jc w:val="both"/>
            </w:pPr>
            <w:r w:rsidRPr="00EA1750">
              <w:rPr>
                <w:sz w:val="18"/>
              </w:rPr>
              <w:t>Rotary wing and fixed wing aviation, airlift, air mobility, pilot training, maintenance, basing, survivability, and integration with partner and allied operations.</w:t>
            </w:r>
          </w:p>
          <w:p w14:paraId="7C998435" w14:textId="77777777" w:rsidR="007673D9" w:rsidRDefault="007673D9" w:rsidP="001931C6">
            <w:pPr>
              <w:spacing w:after="30" w:line="240" w:lineRule="auto"/>
              <w:jc w:val="both"/>
              <w:rPr>
                <w:sz w:val="18"/>
              </w:rPr>
            </w:pPr>
          </w:p>
          <w:p w14:paraId="1A050D21" w14:textId="2DD85E32" w:rsidR="008C6354" w:rsidRPr="002277DC" w:rsidRDefault="00713131" w:rsidP="001931C6">
            <w:pPr>
              <w:spacing w:after="30" w:line="240" w:lineRule="auto"/>
              <w:jc w:val="both"/>
            </w:pPr>
            <w:r w:rsidRPr="00713131">
              <w:rPr>
                <w:rFonts w:cs="Aptos"/>
                <w:sz w:val="18"/>
                <w:szCs w:val="21"/>
              </w:rPr>
              <w:t>Airspace surveillance and management, air domain awareness, military airspace coordination, airborne sensing, air command and control, air operations, airspace integration, unmanned aircraft operations, and interoperability with U.S. and allied air forces.</w:t>
            </w:r>
          </w:p>
        </w:tc>
      </w:tr>
      <w:tr w:rsidR="008C6354" w14:paraId="7FF60B37" w14:textId="77777777" w:rsidTr="3280430B">
        <w:trPr>
          <w:cantSplit/>
          <w:jc w:val="center"/>
        </w:trPr>
        <w:tc>
          <w:tcPr>
            <w:tcW w:w="3384" w:type="dxa"/>
            <w:tcMar>
              <w:top w:w="100" w:type="dxa"/>
              <w:left w:w="130" w:type="dxa"/>
              <w:bottom w:w="100" w:type="dxa"/>
              <w:right w:w="130" w:type="dxa"/>
            </w:tcMar>
            <w:vAlign w:val="center"/>
          </w:tcPr>
          <w:p w14:paraId="4E7A7547" w14:textId="20E98EDD" w:rsidR="008C6354" w:rsidRPr="002277DC" w:rsidRDefault="00AF57B7" w:rsidP="000B2804">
            <w:pPr>
              <w:spacing w:after="30" w:line="240" w:lineRule="auto"/>
              <w:rPr>
                <w:b/>
                <w:bCs/>
                <w:color w:val="1F4E79"/>
              </w:rPr>
            </w:pPr>
            <w:r w:rsidRPr="002277DC">
              <w:rPr>
                <w:b/>
                <w:bCs/>
                <w:color w:val="1F4E79"/>
                <w:sz w:val="18"/>
              </w:rPr>
              <w:t>Integrated Logistics, Sustainment, and Maintenance</w:t>
            </w:r>
            <w:r w:rsidR="00EE6C3D">
              <w:rPr>
                <w:b/>
                <w:bCs/>
                <w:color w:val="1F4E79"/>
                <w:sz w:val="18"/>
              </w:rPr>
              <w:t xml:space="preserve"> </w:t>
            </w:r>
            <w:r w:rsidR="000B2804">
              <w:rPr>
                <w:b/>
                <w:bCs/>
                <w:color w:val="1F4E79"/>
                <w:sz w:val="18"/>
              </w:rPr>
              <w:t xml:space="preserve">/ </w:t>
            </w:r>
            <w:r w:rsidR="009D0FA6" w:rsidRPr="002277DC">
              <w:rPr>
                <w:b/>
                <w:bCs/>
                <w:color w:val="1F4E79"/>
                <w:sz w:val="18"/>
              </w:rPr>
              <w:t>Testing, Demonstration, Prototyping, and Experimentation</w:t>
            </w:r>
          </w:p>
        </w:tc>
        <w:tc>
          <w:tcPr>
            <w:tcW w:w="6336" w:type="dxa"/>
            <w:tcMar>
              <w:top w:w="100" w:type="dxa"/>
              <w:left w:w="130" w:type="dxa"/>
              <w:bottom w:w="100" w:type="dxa"/>
              <w:right w:w="130" w:type="dxa"/>
            </w:tcMar>
            <w:vAlign w:val="center"/>
          </w:tcPr>
          <w:p w14:paraId="439C7DAD" w14:textId="59A6C9E0" w:rsidR="008C6354" w:rsidRPr="002277DC" w:rsidRDefault="00D25922" w:rsidP="001931C6">
            <w:pPr>
              <w:spacing w:after="30" w:line="240" w:lineRule="auto"/>
              <w:jc w:val="both"/>
            </w:pPr>
            <w:r w:rsidRPr="00D25922">
              <w:rPr>
                <w:sz w:val="18"/>
              </w:rPr>
              <w:t>Lifecycle sustainment, supply chain resilience, maintenance concepts, spare parts, readiness, training pipelines, facilities, and total ownership costs.</w:t>
            </w:r>
          </w:p>
          <w:p w14:paraId="658E244C" w14:textId="77777777" w:rsidR="008C6354" w:rsidRPr="002277DC" w:rsidRDefault="008C6354" w:rsidP="001931C6">
            <w:pPr>
              <w:spacing w:after="30" w:line="240" w:lineRule="auto"/>
              <w:jc w:val="both"/>
            </w:pPr>
          </w:p>
          <w:p w14:paraId="162E0EAF" w14:textId="12DA0D32" w:rsidR="008C6354" w:rsidRPr="002277DC" w:rsidRDefault="00F07601" w:rsidP="001931C6">
            <w:pPr>
              <w:spacing w:after="30" w:line="240" w:lineRule="auto"/>
              <w:jc w:val="both"/>
            </w:pPr>
            <w:r w:rsidRPr="00F07601">
              <w:rPr>
                <w:rFonts w:cs="Aptos"/>
                <w:sz w:val="18"/>
                <w:szCs w:val="21"/>
              </w:rPr>
              <w:t xml:space="preserve">Demonstration, testing, prototyping, pilot programs, exercises, trials, and proof of concept activities used to evaluate defense technologies and systems, assess operational suitability, demonstrate interoperability, and support partner </w:t>
            </w:r>
            <w:proofErr w:type="gramStart"/>
            <w:r w:rsidRPr="00F07601">
              <w:rPr>
                <w:rFonts w:cs="Aptos"/>
                <w:sz w:val="18"/>
                <w:szCs w:val="21"/>
              </w:rPr>
              <w:t>nation decision</w:t>
            </w:r>
            <w:proofErr w:type="gramEnd"/>
            <w:r w:rsidRPr="00F07601">
              <w:rPr>
                <w:rFonts w:cs="Aptos"/>
                <w:sz w:val="18"/>
                <w:szCs w:val="21"/>
              </w:rPr>
              <w:t xml:space="preserve"> making prior to acquisition.</w:t>
            </w:r>
          </w:p>
        </w:tc>
      </w:tr>
      <w:tr w:rsidR="00B25990" w14:paraId="39E12E19" w14:textId="77777777" w:rsidTr="3280430B">
        <w:trPr>
          <w:cantSplit/>
          <w:jc w:val="center"/>
        </w:trPr>
        <w:tc>
          <w:tcPr>
            <w:tcW w:w="3384" w:type="dxa"/>
            <w:tcMar>
              <w:top w:w="100" w:type="dxa"/>
              <w:left w:w="130" w:type="dxa"/>
              <w:bottom w:w="100" w:type="dxa"/>
              <w:right w:w="130" w:type="dxa"/>
            </w:tcMar>
            <w:vAlign w:val="center"/>
          </w:tcPr>
          <w:p w14:paraId="22715C70" w14:textId="09A75EBF" w:rsidR="00B25990" w:rsidRPr="002277DC" w:rsidRDefault="00B25990" w:rsidP="000B2804">
            <w:pPr>
              <w:spacing w:after="30" w:line="240" w:lineRule="auto"/>
              <w:rPr>
                <w:b/>
                <w:bCs/>
                <w:color w:val="1F4E79"/>
                <w:sz w:val="18"/>
              </w:rPr>
            </w:pPr>
            <w:r w:rsidRPr="00B25990">
              <w:rPr>
                <w:b/>
                <w:bCs/>
                <w:color w:val="1F4E79"/>
                <w:sz w:val="18"/>
              </w:rPr>
              <w:t>Defense Industrial Base</w:t>
            </w:r>
          </w:p>
        </w:tc>
        <w:tc>
          <w:tcPr>
            <w:tcW w:w="6336" w:type="dxa"/>
            <w:tcMar>
              <w:top w:w="100" w:type="dxa"/>
              <w:left w:w="130" w:type="dxa"/>
              <w:bottom w:w="100" w:type="dxa"/>
              <w:right w:w="130" w:type="dxa"/>
            </w:tcMar>
            <w:vAlign w:val="center"/>
          </w:tcPr>
          <w:p w14:paraId="71F407EE" w14:textId="1E2D47C9" w:rsidR="00B25990" w:rsidRPr="00D25922" w:rsidRDefault="00B25990" w:rsidP="001931C6">
            <w:pPr>
              <w:spacing w:after="30" w:line="240" w:lineRule="auto"/>
              <w:jc w:val="both"/>
              <w:rPr>
                <w:sz w:val="18"/>
              </w:rPr>
            </w:pPr>
            <w:r w:rsidRPr="00B25990">
              <w:rPr>
                <w:sz w:val="18"/>
              </w:rPr>
              <w:t>Industrial capacity and resilience, defense supply chains, critical component dependencies, production capacity and surge potential, advanced manufacturing, technology and innovation ecosystems, workforce and specialized skills, sustainment and maintenance capabilities, and public-private defense industry partnerships.</w:t>
            </w:r>
          </w:p>
        </w:tc>
      </w:tr>
    </w:tbl>
    <w:p w14:paraId="1D192D4D" w14:textId="77777777" w:rsidR="008C6354" w:rsidRDefault="008C6354"/>
    <w:p w14:paraId="69EBA13C" w14:textId="77777777" w:rsidR="008C6354" w:rsidRDefault="00AF57B7">
      <w:pPr>
        <w:pStyle w:val="Heading1"/>
      </w:pPr>
      <w:r>
        <w:t>4. Tasks and Deliverables</w:t>
      </w:r>
    </w:p>
    <w:p w14:paraId="0F9578D4" w14:textId="77777777" w:rsidR="008C6354" w:rsidRDefault="00AF57B7">
      <w:pPr>
        <w:pStyle w:val="Heading2"/>
      </w:pPr>
      <w:r>
        <w:t>Task 1: Initial Stakeholder Engagement and Requirements Assessment</w:t>
      </w:r>
    </w:p>
    <w:p w14:paraId="445F71B4" w14:textId="0741B8AE" w:rsidR="006073F8" w:rsidRDefault="00762E03" w:rsidP="00B67764">
      <w:pPr>
        <w:jc w:val="both"/>
      </w:pPr>
      <w:r>
        <w:t xml:space="preserve">The offeror </w:t>
      </w:r>
      <w:proofErr w:type="gramStart"/>
      <w:r>
        <w:t>shall</w:t>
      </w:r>
      <w:proofErr w:type="gramEnd"/>
      <w:r>
        <w:t xml:space="preserve"> participate in meetings, workshops, consultations, and fact-finding engagements with designated government, military, embassy, interagency, allied, and defense-sector stakeholders. Activities may occur virtually, in the United States, or in one or more partner countries</w:t>
      </w:r>
      <w:r w:rsidR="12E8F2C2">
        <w:t xml:space="preserve"> within the regions identified in Section 1</w:t>
      </w:r>
      <w:r>
        <w:t>.</w:t>
      </w:r>
    </w:p>
    <w:p w14:paraId="3507210C" w14:textId="77777777" w:rsidR="008C6354" w:rsidRDefault="00AF57B7">
      <w:r>
        <w:t>The purpose of these engagements shall be to:</w:t>
      </w:r>
    </w:p>
    <w:p w14:paraId="6D8B8CB8" w14:textId="77777777" w:rsidR="008C6354" w:rsidRDefault="00AF57B7">
      <w:pPr>
        <w:pStyle w:val="ListBullet"/>
      </w:pPr>
      <w:r>
        <w:t>Understand partner requirements and priorities.</w:t>
      </w:r>
    </w:p>
    <w:p w14:paraId="1DA25400" w14:textId="77777777" w:rsidR="008C6354" w:rsidRDefault="00AF57B7">
      <w:pPr>
        <w:pStyle w:val="ListBullet"/>
      </w:pPr>
      <w:r>
        <w:t>Identify capability gaps and modernization objectives.</w:t>
      </w:r>
    </w:p>
    <w:p w14:paraId="777D3FDD" w14:textId="77777777" w:rsidR="008C6354" w:rsidRDefault="00AF57B7">
      <w:pPr>
        <w:pStyle w:val="ListBullet"/>
      </w:pPr>
      <w:r>
        <w:t>Assess current force structure and equipment inventories.</w:t>
      </w:r>
    </w:p>
    <w:p w14:paraId="1B080683" w14:textId="77777777" w:rsidR="008C6354" w:rsidRDefault="00AF57B7">
      <w:pPr>
        <w:pStyle w:val="ListBullet"/>
      </w:pPr>
      <w:r>
        <w:lastRenderedPageBreak/>
        <w:t xml:space="preserve">Gather information necessary for </w:t>
      </w:r>
      <w:r w:rsidR="1AACEBE9">
        <w:t>Front-End Capabilities Assessments</w:t>
      </w:r>
      <w:r>
        <w:t>.</w:t>
      </w:r>
    </w:p>
    <w:p w14:paraId="1DEE8192" w14:textId="77777777" w:rsidR="008C6354" w:rsidRDefault="00AF57B7">
      <w:pPr>
        <w:pStyle w:val="ListBullet"/>
      </w:pPr>
      <w:r>
        <w:t>Coordinate with appropriate U.S. Government, allied, and partner-nation stakeholders.</w:t>
      </w:r>
    </w:p>
    <w:p w14:paraId="61ED776F" w14:textId="77777777" w:rsidR="008C6354" w:rsidRDefault="00AF57B7">
      <w:pPr>
        <w:pStyle w:val="Heading3"/>
      </w:pPr>
      <w:r>
        <w:t>Deliverable 1.1</w:t>
      </w:r>
    </w:p>
    <w:p w14:paraId="6E0BBC68" w14:textId="77777777" w:rsidR="008C6354" w:rsidRDefault="00AF57B7">
      <w:r>
        <w:t>Requirements Assessment and Stakeholder Engagement Report, due within a CRDF Global-defined number of calendar days following completion of stakeholder engagement activities.</w:t>
      </w:r>
    </w:p>
    <w:p w14:paraId="5347CEE0" w14:textId="77777777" w:rsidR="008C6354" w:rsidRDefault="00AF57B7" w:rsidP="3280430B">
      <w:r w:rsidRPr="3280430B">
        <w:rPr>
          <w:rFonts w:asciiTheme="majorHAnsi" w:eastAsiaTheme="majorEastAsia" w:hAnsiTheme="majorHAnsi" w:cstheme="majorBidi"/>
          <w:b/>
          <w:bCs/>
          <w:color w:val="595959" w:themeColor="text1" w:themeTint="A6"/>
          <w:sz w:val="26"/>
          <w:szCs w:val="26"/>
        </w:rPr>
        <w:t>Task 2: Front-End Capabilities Assessments and Defense Market Research Analysis</w:t>
      </w:r>
    </w:p>
    <w:p w14:paraId="04D85333" w14:textId="48983F72" w:rsidR="7C707174" w:rsidRDefault="00030F4E" w:rsidP="00B67764">
      <w:pPr>
        <w:jc w:val="both"/>
      </w:pPr>
      <w:r>
        <w:rPr>
          <w:rFonts w:cs="Aptos"/>
          <w:szCs w:val="21"/>
        </w:rPr>
        <w:t>The offeror</w:t>
      </w:r>
      <w:r w:rsidR="7C707174" w:rsidRPr="3280430B">
        <w:rPr>
          <w:rFonts w:cs="Aptos"/>
          <w:szCs w:val="21"/>
        </w:rPr>
        <w:t xml:space="preserve"> shall conduct Front-End Capabilities Assessments to evaluate partner-nation defense requirements, current capabilities, capability gaps, modernization priorities, and potential U.S. and allied solutions. Assessments shall incorporate market research, technical analysis, capability gap analysis, comparative assessments, and evaluation of available procurement, demonstration, testing, and implementation pathways.</w:t>
      </w:r>
    </w:p>
    <w:p w14:paraId="2C314E96" w14:textId="57BE6509" w:rsidR="006073F8" w:rsidRDefault="00762E03">
      <w:r>
        <w:t xml:space="preserve">Each </w:t>
      </w:r>
      <w:r w:rsidR="004E7A67">
        <w:t>Front-End Capabilities Assessment</w:t>
      </w:r>
      <w:r>
        <w:t xml:space="preserve"> should assess:</w:t>
      </w:r>
    </w:p>
    <w:p w14:paraId="68D1A1D0" w14:textId="77777777" w:rsidR="008C6354" w:rsidRDefault="00AF57B7">
      <w:pPr>
        <w:pStyle w:val="ListBullet"/>
      </w:pPr>
      <w:r>
        <w:t>Operational requirements and mission effectiveness.</w:t>
      </w:r>
    </w:p>
    <w:p w14:paraId="4D39AA6A" w14:textId="77777777" w:rsidR="008C6354" w:rsidRDefault="00AF57B7">
      <w:pPr>
        <w:pStyle w:val="ListBullet"/>
      </w:pPr>
      <w:r>
        <w:t>Capability gaps and modernization priorities.</w:t>
      </w:r>
    </w:p>
    <w:p w14:paraId="384B7608" w14:textId="77777777" w:rsidR="008C6354" w:rsidRDefault="00AF57B7">
      <w:pPr>
        <w:pStyle w:val="ListBullet"/>
      </w:pPr>
      <w:r>
        <w:t>System performance considerations.</w:t>
      </w:r>
    </w:p>
    <w:p w14:paraId="41FBDC5C" w14:textId="77777777" w:rsidR="008C6354" w:rsidRDefault="00AF57B7">
      <w:pPr>
        <w:pStyle w:val="ListBullet"/>
      </w:pPr>
      <w:r>
        <w:t>Interoperability with U.S. and allied forces.</w:t>
      </w:r>
    </w:p>
    <w:p w14:paraId="76418BE3" w14:textId="77777777" w:rsidR="008C6354" w:rsidRDefault="00AF57B7">
      <w:pPr>
        <w:pStyle w:val="ListBullet"/>
      </w:pPr>
      <w:r>
        <w:t>Training, maintenance, sustainment, and lifecycle requirements.</w:t>
      </w:r>
    </w:p>
    <w:p w14:paraId="4BA074D5" w14:textId="77777777" w:rsidR="008C6354" w:rsidRDefault="00AF57B7">
      <w:pPr>
        <w:pStyle w:val="ListBullet"/>
      </w:pPr>
      <w:r>
        <w:t>Cost, affordability, and implementation considerations.</w:t>
      </w:r>
    </w:p>
    <w:p w14:paraId="65AEE279" w14:textId="77777777" w:rsidR="008C6354" w:rsidRDefault="00AF57B7">
      <w:pPr>
        <w:pStyle w:val="ListBullet"/>
      </w:pPr>
      <w:r>
        <w:t>Security cooperation implications and technical releasability considerations.</w:t>
      </w:r>
    </w:p>
    <w:p w14:paraId="013326A9" w14:textId="77777777" w:rsidR="008C6354" w:rsidRDefault="00AF57B7">
      <w:pPr>
        <w:pStyle w:val="ListBullet"/>
      </w:pPr>
      <w:r>
        <w:t>Technology maturity, availability, and procurement pathways.</w:t>
      </w:r>
    </w:p>
    <w:p w14:paraId="225EC7AF" w14:textId="77777777" w:rsidR="008C6354" w:rsidRDefault="00AF57B7">
      <w:pPr>
        <w:pStyle w:val="ListBullet"/>
      </w:pPr>
      <w:r>
        <w:t>Risks, assumptions, limitations, and recommended modernization approaches.</w:t>
      </w:r>
    </w:p>
    <w:p w14:paraId="291F5773" w14:textId="77777777" w:rsidR="27EE30D4" w:rsidRDefault="27EE30D4" w:rsidP="3280430B">
      <w:pPr>
        <w:pStyle w:val="ListBullet"/>
      </w:pPr>
      <w:r w:rsidRPr="3280430B">
        <w:t xml:space="preserve">Defense market availability and relevant U.S., allied, and international solutions. </w:t>
      </w:r>
    </w:p>
    <w:p w14:paraId="326A91B6" w14:textId="77777777" w:rsidR="27EE30D4" w:rsidRDefault="27EE30D4" w:rsidP="3280430B">
      <w:pPr>
        <w:pStyle w:val="ListBullet"/>
        <w:spacing w:after="0"/>
      </w:pPr>
      <w:r w:rsidRPr="3280430B">
        <w:t xml:space="preserve">Identification and assessment of potential suppliers and technology providers. </w:t>
      </w:r>
    </w:p>
    <w:p w14:paraId="3D64B46B" w14:textId="77777777" w:rsidR="27EE30D4" w:rsidRDefault="27EE30D4" w:rsidP="3280430B">
      <w:pPr>
        <w:pStyle w:val="ListBullet"/>
        <w:spacing w:after="0"/>
      </w:pPr>
      <w:r w:rsidRPr="3280430B">
        <w:t xml:space="preserve">Procurement pathways, acquisition timelines, and availability. </w:t>
      </w:r>
    </w:p>
    <w:p w14:paraId="5B6A3F07" w14:textId="77777777" w:rsidR="27EE30D4" w:rsidRDefault="27EE30D4" w:rsidP="3280430B">
      <w:pPr>
        <w:pStyle w:val="ListBullet"/>
        <w:spacing w:after="0"/>
      </w:pPr>
      <w:r w:rsidRPr="3280430B">
        <w:t xml:space="preserve">Demonstration, testing, prototype, and trial opportunities. </w:t>
      </w:r>
    </w:p>
    <w:p w14:paraId="1600E316" w14:textId="77777777" w:rsidR="27EE30D4" w:rsidRDefault="27EE30D4" w:rsidP="3280430B">
      <w:pPr>
        <w:pStyle w:val="ListBullet"/>
        <w:spacing w:after="0"/>
      </w:pPr>
      <w:r w:rsidRPr="3280430B">
        <w:t xml:space="preserve">Comparative assessment of existing capabilities and available alternatives. </w:t>
      </w:r>
    </w:p>
    <w:p w14:paraId="3B1479EA" w14:textId="77777777" w:rsidR="27EE30D4" w:rsidRDefault="27EE30D4" w:rsidP="3280430B">
      <w:pPr>
        <w:pStyle w:val="ListBullet"/>
        <w:spacing w:after="0"/>
      </w:pPr>
      <w:r w:rsidRPr="3280430B">
        <w:t>Capability gaps and potential solutions to address those gaps.</w:t>
      </w:r>
    </w:p>
    <w:p w14:paraId="1B95E552" w14:textId="77777777" w:rsidR="3280430B" w:rsidRDefault="3280430B" w:rsidP="00B67764">
      <w:pPr>
        <w:pStyle w:val="ListBullet"/>
        <w:numPr>
          <w:ilvl w:val="0"/>
          <w:numId w:val="0"/>
        </w:numPr>
        <w:ind w:left="360"/>
        <w:jc w:val="both"/>
      </w:pPr>
    </w:p>
    <w:p w14:paraId="608B3010" w14:textId="77777777" w:rsidR="008C6354" w:rsidRDefault="62C2E0E4" w:rsidP="00B67764">
      <w:pPr>
        <w:jc w:val="both"/>
      </w:pPr>
      <w:r>
        <w:t>Front-End Capabilities Assessments</w:t>
      </w:r>
      <w:r w:rsidR="00AF57B7">
        <w:t xml:space="preserve"> may also evaluate existing competitor systems, comparative capability tradeoffs, regional security context, and opportunities to support partner-nation transition to U.S. and allied systems.</w:t>
      </w:r>
    </w:p>
    <w:p w14:paraId="56BFB545" w14:textId="77777777" w:rsidR="008C6354" w:rsidRDefault="00AF57B7">
      <w:pPr>
        <w:pStyle w:val="Heading3"/>
      </w:pPr>
      <w:r>
        <w:t>Deliverables</w:t>
      </w:r>
    </w:p>
    <w:p w14:paraId="139A01A5" w14:textId="77777777" w:rsidR="008C6354" w:rsidRPr="00670C91" w:rsidRDefault="378AAA50" w:rsidP="3280430B">
      <w:pPr>
        <w:pStyle w:val="ListBullet"/>
      </w:pPr>
      <w:r w:rsidRPr="00670C91">
        <w:rPr>
          <w:rFonts w:eastAsiaTheme="minorEastAsia"/>
          <w:szCs w:val="21"/>
        </w:rPr>
        <w:t xml:space="preserve">Deliverable 2.1: Draft Front-End Capabilities Assessment(s) </w:t>
      </w:r>
    </w:p>
    <w:p w14:paraId="163DC7CC" w14:textId="77777777" w:rsidR="008C6354" w:rsidRPr="00670C91" w:rsidRDefault="378AAA50" w:rsidP="3280430B">
      <w:pPr>
        <w:pStyle w:val="ListBullet"/>
        <w:spacing w:after="0"/>
      </w:pPr>
      <w:r w:rsidRPr="00670C91">
        <w:rPr>
          <w:rFonts w:eastAsiaTheme="minorEastAsia"/>
          <w:szCs w:val="21"/>
        </w:rPr>
        <w:t xml:space="preserve">Deliverable 2.2: Revised Front-End Capabilities Assessment(s) </w:t>
      </w:r>
    </w:p>
    <w:p w14:paraId="5B26A111" w14:textId="77777777" w:rsidR="008C6354" w:rsidRPr="00670C91" w:rsidRDefault="378AAA50" w:rsidP="3280430B">
      <w:pPr>
        <w:pStyle w:val="ListBullet"/>
        <w:spacing w:after="0"/>
      </w:pPr>
      <w:r w:rsidRPr="00670C91">
        <w:rPr>
          <w:rFonts w:eastAsiaTheme="minorEastAsia"/>
          <w:szCs w:val="21"/>
        </w:rPr>
        <w:t>Deliverable 2.3: Final Front-End Capabilities Assessment(s)</w:t>
      </w:r>
    </w:p>
    <w:p w14:paraId="60DD5B43" w14:textId="77777777" w:rsidR="006073F8" w:rsidRPr="00670C91" w:rsidRDefault="00762E03" w:rsidP="00BB7EFB">
      <w:pPr>
        <w:pStyle w:val="ListBullet"/>
      </w:pPr>
      <w:r>
        <w:t>Translated versions</w:t>
      </w:r>
      <w:r w:rsidR="5D199FB6">
        <w:t>,</w:t>
      </w:r>
      <w:r>
        <w:t xml:space="preserve"> if specified in the award.</w:t>
      </w:r>
    </w:p>
    <w:p w14:paraId="7247D097" w14:textId="77777777" w:rsidR="008C6354" w:rsidRDefault="00AF57B7">
      <w:pPr>
        <w:pStyle w:val="Heading2"/>
      </w:pPr>
      <w:r>
        <w:t>Task 3: Expert Briefings and Technical Consultation</w:t>
      </w:r>
    </w:p>
    <w:p w14:paraId="481A2B37" w14:textId="4D5A5AD6" w:rsidR="008C6354" w:rsidRDefault="00030F4E" w:rsidP="00B67764">
      <w:pPr>
        <w:jc w:val="both"/>
      </w:pPr>
      <w:r>
        <w:t>The offeror</w:t>
      </w:r>
      <w:r w:rsidR="00AF57B7">
        <w:t xml:space="preserve"> </w:t>
      </w:r>
      <w:proofErr w:type="gramStart"/>
      <w:r w:rsidR="00AF57B7">
        <w:t>shall</w:t>
      </w:r>
      <w:proofErr w:type="gramEnd"/>
      <w:r w:rsidR="00AF57B7">
        <w:t xml:space="preserve"> provide recurring briefings and technical consultations to government stakeholders. Briefings may be conducted virtually or in person and may be tailored for technical, policy, senior-leader, or partner-nation audiences.</w:t>
      </w:r>
    </w:p>
    <w:p w14:paraId="2EF8A849" w14:textId="77777777" w:rsidR="008C6354" w:rsidRDefault="00AF57B7">
      <w:r>
        <w:t>Briefings may include:</w:t>
      </w:r>
    </w:p>
    <w:p w14:paraId="145CC10E" w14:textId="77777777" w:rsidR="008C6354" w:rsidRDefault="00AF57B7">
      <w:pPr>
        <w:pStyle w:val="ListBullet"/>
      </w:pPr>
      <w:r>
        <w:t>Progress updates and emerging findings.</w:t>
      </w:r>
    </w:p>
    <w:p w14:paraId="4566E2F8" w14:textId="77777777" w:rsidR="008C6354" w:rsidRDefault="00AF57B7">
      <w:pPr>
        <w:pStyle w:val="ListBullet"/>
      </w:pPr>
      <w:r>
        <w:t>Capability comparisons and modernization recommendations.</w:t>
      </w:r>
    </w:p>
    <w:p w14:paraId="171E165E" w14:textId="77777777" w:rsidR="008C6354" w:rsidRDefault="00AF57B7">
      <w:pPr>
        <w:pStyle w:val="ListBullet"/>
      </w:pPr>
      <w:r>
        <w:t>Technology trends, industry landscape, and procurement considerations.</w:t>
      </w:r>
    </w:p>
    <w:p w14:paraId="784CD88E" w14:textId="77777777" w:rsidR="008C6354" w:rsidRDefault="00AF57B7">
      <w:pPr>
        <w:pStyle w:val="ListBullet"/>
      </w:pPr>
      <w:r>
        <w:t>Interoperability, sustainment, training, and implementation implications.</w:t>
      </w:r>
    </w:p>
    <w:p w14:paraId="371CB992" w14:textId="77777777" w:rsidR="008C6354" w:rsidRDefault="00AF57B7">
      <w:pPr>
        <w:pStyle w:val="ListBullet"/>
      </w:pPr>
      <w:r>
        <w:t>Senior-level decision briefings and partner-nation consultation materials.</w:t>
      </w:r>
    </w:p>
    <w:p w14:paraId="6407E4C9" w14:textId="77777777" w:rsidR="008C6354" w:rsidRDefault="00AF57B7">
      <w:pPr>
        <w:pStyle w:val="Heading3"/>
      </w:pPr>
      <w:r>
        <w:t>Deliverables</w:t>
      </w:r>
    </w:p>
    <w:p w14:paraId="1DE0EF8E" w14:textId="77777777" w:rsidR="008C6354" w:rsidRDefault="00AF57B7">
      <w:pPr>
        <w:pStyle w:val="ListBullet"/>
      </w:pPr>
      <w:r>
        <w:t>Deliverable 3.1: Briefing presentation materials.</w:t>
      </w:r>
    </w:p>
    <w:p w14:paraId="5952C9B7" w14:textId="77777777" w:rsidR="008C6354" w:rsidRDefault="00AF57B7">
      <w:pPr>
        <w:pStyle w:val="ListBullet"/>
      </w:pPr>
      <w:r>
        <w:t>Deliverable 3.2: Technical consultation memoranda.</w:t>
      </w:r>
    </w:p>
    <w:p w14:paraId="581154FC" w14:textId="77777777" w:rsidR="008C6354" w:rsidRDefault="00AF57B7">
      <w:pPr>
        <w:pStyle w:val="ListBullet"/>
      </w:pPr>
      <w:r>
        <w:t>Deliverable 3.3: Executive-level summary briefing materials.</w:t>
      </w:r>
    </w:p>
    <w:p w14:paraId="2BF629C8" w14:textId="77777777" w:rsidR="008C6354" w:rsidRDefault="00AF57B7">
      <w:pPr>
        <w:pStyle w:val="Heading2"/>
      </w:pPr>
      <w:r>
        <w:lastRenderedPageBreak/>
        <w:t>Task 4: Follow-On Consultations and Validation Activities</w:t>
      </w:r>
    </w:p>
    <w:p w14:paraId="1DAD9628" w14:textId="3D515C70" w:rsidR="008C6354" w:rsidRDefault="00030F4E" w:rsidP="00B67764">
      <w:pPr>
        <w:jc w:val="both"/>
      </w:pPr>
      <w:r>
        <w:t>The offeror</w:t>
      </w:r>
      <w:r w:rsidR="00AF57B7">
        <w:t xml:space="preserve"> shall support final stakeholder consultations to validate findings, refine recommendations, and identify implementation pathways. Activities may include government consultations, working groups, technical workshops, senior leader engagements, defense industry consultations, and capability prioritization sessions.</w:t>
      </w:r>
    </w:p>
    <w:p w14:paraId="27662E5C" w14:textId="77777777" w:rsidR="008C6354" w:rsidRDefault="00AF57B7">
      <w:pPr>
        <w:pStyle w:val="Heading3"/>
      </w:pPr>
      <w:r>
        <w:t>Deliverables</w:t>
      </w:r>
    </w:p>
    <w:p w14:paraId="160D513F" w14:textId="77777777" w:rsidR="008C6354" w:rsidRDefault="00AF57B7">
      <w:pPr>
        <w:pStyle w:val="ListBullet"/>
      </w:pPr>
      <w:r>
        <w:t>Deliverable 4.1: Final Consultation Report.</w:t>
      </w:r>
    </w:p>
    <w:p w14:paraId="17F29EDA" w14:textId="77777777" w:rsidR="008C6354" w:rsidRDefault="00AF57B7">
      <w:pPr>
        <w:pStyle w:val="ListBullet"/>
      </w:pPr>
      <w:r>
        <w:t>Deliverable 4.2: Capability Prioritization Matrix.</w:t>
      </w:r>
    </w:p>
    <w:p w14:paraId="0B473BD4" w14:textId="1003225B" w:rsidR="008C6354" w:rsidRDefault="0097284B">
      <w:pPr>
        <w:pStyle w:val="Heading1"/>
      </w:pPr>
      <w:r>
        <w:t>5</w:t>
      </w:r>
      <w:r w:rsidR="00AF57B7">
        <w:t>. Anticipated Deliverables Summary</w:t>
      </w:r>
    </w:p>
    <w:tbl>
      <w:tblPr>
        <w:tblW w:w="0" w:type="auto"/>
        <w:jc w:val="center"/>
        <w:tblBorders>
          <w:top w:val="single" w:sz="5" w:space="0" w:color="AAB7C4"/>
          <w:left w:val="single" w:sz="5" w:space="0" w:color="AAB7C4"/>
          <w:bottom w:val="single" w:sz="5" w:space="0" w:color="AAB7C4"/>
          <w:right w:val="single" w:sz="5" w:space="0" w:color="AAB7C4"/>
          <w:insideH w:val="single" w:sz="5" w:space="0" w:color="AAB7C4"/>
          <w:insideV w:val="single" w:sz="5" w:space="0" w:color="AAB7C4"/>
        </w:tblBorders>
        <w:tblLayout w:type="fixed"/>
        <w:tblLook w:val="04A0" w:firstRow="1" w:lastRow="0" w:firstColumn="1" w:lastColumn="0" w:noHBand="0" w:noVBand="1"/>
      </w:tblPr>
      <w:tblGrid>
        <w:gridCol w:w="1152"/>
        <w:gridCol w:w="5832"/>
        <w:gridCol w:w="2736"/>
      </w:tblGrid>
      <w:tr w:rsidR="008C6354" w14:paraId="54F7AC45" w14:textId="77777777" w:rsidTr="54356DE5">
        <w:trPr>
          <w:cantSplit/>
          <w:tblHeader/>
          <w:jc w:val="center"/>
        </w:trPr>
        <w:tc>
          <w:tcPr>
            <w:tcW w:w="1152" w:type="dxa"/>
            <w:shd w:val="clear" w:color="auto" w:fill="1F4E79"/>
            <w:tcMar>
              <w:top w:w="100" w:type="dxa"/>
              <w:left w:w="130" w:type="dxa"/>
              <w:bottom w:w="100" w:type="dxa"/>
              <w:right w:w="130" w:type="dxa"/>
            </w:tcMar>
            <w:vAlign w:val="center"/>
          </w:tcPr>
          <w:p w14:paraId="46CEFD5F" w14:textId="77777777" w:rsidR="008C6354" w:rsidRDefault="00AF57B7">
            <w:pPr>
              <w:spacing w:after="30" w:line="240" w:lineRule="auto"/>
            </w:pPr>
            <w:r>
              <w:rPr>
                <w:b/>
                <w:color w:val="FFFFFF"/>
                <w:sz w:val="18"/>
              </w:rPr>
              <w:t>Deliverable</w:t>
            </w:r>
          </w:p>
        </w:tc>
        <w:tc>
          <w:tcPr>
            <w:tcW w:w="5832" w:type="dxa"/>
            <w:shd w:val="clear" w:color="auto" w:fill="1F4E79"/>
            <w:tcMar>
              <w:top w:w="100" w:type="dxa"/>
              <w:left w:w="130" w:type="dxa"/>
              <w:bottom w:w="100" w:type="dxa"/>
              <w:right w:w="130" w:type="dxa"/>
            </w:tcMar>
            <w:vAlign w:val="center"/>
          </w:tcPr>
          <w:p w14:paraId="0DDAF8AF" w14:textId="77777777" w:rsidR="008C6354" w:rsidRDefault="00AF57B7">
            <w:pPr>
              <w:spacing w:after="30" w:line="240" w:lineRule="auto"/>
            </w:pPr>
            <w:r>
              <w:rPr>
                <w:b/>
                <w:color w:val="FFFFFF"/>
                <w:sz w:val="18"/>
              </w:rPr>
              <w:t>Description</w:t>
            </w:r>
          </w:p>
        </w:tc>
        <w:tc>
          <w:tcPr>
            <w:tcW w:w="2736" w:type="dxa"/>
            <w:shd w:val="clear" w:color="auto" w:fill="1F4E79"/>
            <w:tcMar>
              <w:top w:w="100" w:type="dxa"/>
              <w:left w:w="130" w:type="dxa"/>
              <w:bottom w:w="100" w:type="dxa"/>
              <w:right w:w="130" w:type="dxa"/>
            </w:tcMar>
            <w:vAlign w:val="center"/>
          </w:tcPr>
          <w:p w14:paraId="24831CE1" w14:textId="77777777" w:rsidR="008C6354" w:rsidRDefault="00AF57B7">
            <w:pPr>
              <w:spacing w:after="30" w:line="240" w:lineRule="auto"/>
            </w:pPr>
            <w:r>
              <w:rPr>
                <w:b/>
                <w:color w:val="FFFFFF"/>
                <w:sz w:val="18"/>
              </w:rPr>
              <w:t>Timing</w:t>
            </w:r>
          </w:p>
        </w:tc>
      </w:tr>
      <w:tr w:rsidR="008C6354" w14:paraId="0D3A4A4B" w14:textId="77777777" w:rsidTr="54356DE5">
        <w:trPr>
          <w:cantSplit/>
          <w:jc w:val="center"/>
        </w:trPr>
        <w:tc>
          <w:tcPr>
            <w:tcW w:w="1152" w:type="dxa"/>
            <w:tcMar>
              <w:top w:w="100" w:type="dxa"/>
              <w:left w:w="130" w:type="dxa"/>
              <w:bottom w:w="100" w:type="dxa"/>
              <w:right w:w="130" w:type="dxa"/>
            </w:tcMar>
            <w:vAlign w:val="center"/>
          </w:tcPr>
          <w:p w14:paraId="3C98A650" w14:textId="77777777" w:rsidR="008C6354" w:rsidRDefault="00AF57B7">
            <w:pPr>
              <w:spacing w:after="30" w:line="240" w:lineRule="auto"/>
              <w:jc w:val="center"/>
            </w:pPr>
            <w:r>
              <w:rPr>
                <w:sz w:val="18"/>
              </w:rPr>
              <w:t>1.1</w:t>
            </w:r>
          </w:p>
        </w:tc>
        <w:tc>
          <w:tcPr>
            <w:tcW w:w="5832" w:type="dxa"/>
            <w:tcMar>
              <w:top w:w="100" w:type="dxa"/>
              <w:left w:w="130" w:type="dxa"/>
              <w:bottom w:w="100" w:type="dxa"/>
              <w:right w:w="130" w:type="dxa"/>
            </w:tcMar>
            <w:vAlign w:val="center"/>
          </w:tcPr>
          <w:p w14:paraId="47311D55" w14:textId="77777777" w:rsidR="008C6354" w:rsidRDefault="00AF57B7">
            <w:pPr>
              <w:spacing w:after="30" w:line="240" w:lineRule="auto"/>
            </w:pPr>
            <w:r>
              <w:rPr>
                <w:sz w:val="18"/>
              </w:rPr>
              <w:t>Requirements Assessment and Stakeholder Engagement Report</w:t>
            </w:r>
          </w:p>
        </w:tc>
        <w:tc>
          <w:tcPr>
            <w:tcW w:w="2736" w:type="dxa"/>
            <w:tcMar>
              <w:top w:w="100" w:type="dxa"/>
              <w:left w:w="130" w:type="dxa"/>
              <w:bottom w:w="100" w:type="dxa"/>
              <w:right w:w="130" w:type="dxa"/>
            </w:tcMar>
            <w:vAlign w:val="center"/>
          </w:tcPr>
          <w:p w14:paraId="423F30A7" w14:textId="77777777" w:rsidR="008C6354" w:rsidRDefault="00AF57B7">
            <w:pPr>
              <w:spacing w:after="30" w:line="240" w:lineRule="auto"/>
            </w:pPr>
            <w:r>
              <w:rPr>
                <w:sz w:val="18"/>
              </w:rPr>
              <w:t>TBD after engagement</w:t>
            </w:r>
          </w:p>
        </w:tc>
      </w:tr>
      <w:tr w:rsidR="008C6354" w14:paraId="3E6E8334" w14:textId="77777777" w:rsidTr="54356DE5">
        <w:trPr>
          <w:cantSplit/>
          <w:jc w:val="center"/>
        </w:trPr>
        <w:tc>
          <w:tcPr>
            <w:tcW w:w="1152" w:type="dxa"/>
            <w:shd w:val="clear" w:color="auto" w:fill="EEF4F8"/>
            <w:tcMar>
              <w:top w:w="100" w:type="dxa"/>
              <w:left w:w="130" w:type="dxa"/>
              <w:bottom w:w="100" w:type="dxa"/>
              <w:right w:w="130" w:type="dxa"/>
            </w:tcMar>
            <w:vAlign w:val="center"/>
          </w:tcPr>
          <w:p w14:paraId="1040C7A3" w14:textId="77777777" w:rsidR="008C6354" w:rsidRDefault="00AF57B7">
            <w:pPr>
              <w:spacing w:after="30" w:line="240" w:lineRule="auto"/>
              <w:jc w:val="center"/>
            </w:pPr>
            <w:r>
              <w:rPr>
                <w:sz w:val="18"/>
              </w:rPr>
              <w:t>2.1</w:t>
            </w:r>
          </w:p>
        </w:tc>
        <w:tc>
          <w:tcPr>
            <w:tcW w:w="5832" w:type="dxa"/>
            <w:shd w:val="clear" w:color="auto" w:fill="EEF4F8"/>
            <w:tcMar>
              <w:top w:w="100" w:type="dxa"/>
              <w:left w:w="130" w:type="dxa"/>
              <w:bottom w:w="100" w:type="dxa"/>
              <w:right w:w="130" w:type="dxa"/>
            </w:tcMar>
            <w:vAlign w:val="center"/>
          </w:tcPr>
          <w:p w14:paraId="20376805" w14:textId="77613B40" w:rsidR="008C6354" w:rsidRDefault="00762E03" w:rsidP="54356DE5">
            <w:pPr>
              <w:rPr>
                <w:sz w:val="18"/>
                <w:szCs w:val="18"/>
              </w:rPr>
            </w:pPr>
            <w:r>
              <w:rPr>
                <w:sz w:val="18"/>
              </w:rPr>
              <w:t xml:space="preserve">Draft </w:t>
            </w:r>
            <w:r w:rsidR="39744E14" w:rsidRPr="54356DE5">
              <w:rPr>
                <w:sz w:val="18"/>
                <w:szCs w:val="18"/>
              </w:rPr>
              <w:t>Front-End Capabilities Assessment(s)</w:t>
            </w:r>
          </w:p>
        </w:tc>
        <w:tc>
          <w:tcPr>
            <w:tcW w:w="2736" w:type="dxa"/>
            <w:shd w:val="clear" w:color="auto" w:fill="EEF4F8"/>
            <w:tcMar>
              <w:top w:w="100" w:type="dxa"/>
              <w:left w:w="130" w:type="dxa"/>
              <w:bottom w:w="100" w:type="dxa"/>
              <w:right w:w="130" w:type="dxa"/>
            </w:tcMar>
            <w:vAlign w:val="center"/>
          </w:tcPr>
          <w:p w14:paraId="089E5D50" w14:textId="77777777" w:rsidR="008C6354" w:rsidRDefault="00AF57B7">
            <w:pPr>
              <w:spacing w:after="30" w:line="240" w:lineRule="auto"/>
            </w:pPr>
            <w:r>
              <w:rPr>
                <w:sz w:val="18"/>
              </w:rPr>
              <w:t>TBD during period of performance</w:t>
            </w:r>
          </w:p>
        </w:tc>
      </w:tr>
      <w:tr w:rsidR="008C6354" w14:paraId="48B894F6" w14:textId="77777777" w:rsidTr="54356DE5">
        <w:trPr>
          <w:cantSplit/>
          <w:jc w:val="center"/>
        </w:trPr>
        <w:tc>
          <w:tcPr>
            <w:tcW w:w="1152" w:type="dxa"/>
            <w:tcMar>
              <w:top w:w="100" w:type="dxa"/>
              <w:left w:w="130" w:type="dxa"/>
              <w:bottom w:w="100" w:type="dxa"/>
              <w:right w:w="130" w:type="dxa"/>
            </w:tcMar>
            <w:vAlign w:val="center"/>
          </w:tcPr>
          <w:p w14:paraId="30AC441F" w14:textId="77777777" w:rsidR="008C6354" w:rsidRDefault="00AF57B7">
            <w:pPr>
              <w:spacing w:after="30" w:line="240" w:lineRule="auto"/>
              <w:jc w:val="center"/>
            </w:pPr>
            <w:r>
              <w:rPr>
                <w:sz w:val="18"/>
              </w:rPr>
              <w:t>2.2</w:t>
            </w:r>
          </w:p>
        </w:tc>
        <w:tc>
          <w:tcPr>
            <w:tcW w:w="5832" w:type="dxa"/>
            <w:tcMar>
              <w:top w:w="100" w:type="dxa"/>
              <w:left w:w="130" w:type="dxa"/>
              <w:bottom w:w="100" w:type="dxa"/>
              <w:right w:w="130" w:type="dxa"/>
            </w:tcMar>
            <w:vAlign w:val="center"/>
          </w:tcPr>
          <w:p w14:paraId="5BBE381F" w14:textId="722B4804" w:rsidR="008C6354" w:rsidRDefault="00762E03" w:rsidP="54356DE5">
            <w:pPr>
              <w:rPr>
                <w:sz w:val="18"/>
                <w:szCs w:val="18"/>
              </w:rPr>
            </w:pPr>
            <w:r>
              <w:rPr>
                <w:sz w:val="18"/>
              </w:rPr>
              <w:t xml:space="preserve">Revised </w:t>
            </w:r>
            <w:r w:rsidR="0B6F0EAA" w:rsidRPr="54356DE5">
              <w:rPr>
                <w:sz w:val="18"/>
                <w:szCs w:val="18"/>
              </w:rPr>
              <w:t>Front-End Capabilities Assessment(s)</w:t>
            </w:r>
          </w:p>
        </w:tc>
        <w:tc>
          <w:tcPr>
            <w:tcW w:w="2736" w:type="dxa"/>
            <w:tcMar>
              <w:top w:w="100" w:type="dxa"/>
              <w:left w:w="130" w:type="dxa"/>
              <w:bottom w:w="100" w:type="dxa"/>
              <w:right w:w="130" w:type="dxa"/>
            </w:tcMar>
            <w:vAlign w:val="center"/>
          </w:tcPr>
          <w:p w14:paraId="2B7BD574" w14:textId="77777777" w:rsidR="008C6354" w:rsidRDefault="00AF57B7">
            <w:pPr>
              <w:spacing w:after="30" w:line="240" w:lineRule="auto"/>
            </w:pPr>
            <w:r>
              <w:rPr>
                <w:sz w:val="18"/>
              </w:rPr>
              <w:t>TBD after CRDF Global review</w:t>
            </w:r>
          </w:p>
        </w:tc>
      </w:tr>
      <w:tr w:rsidR="008C6354" w14:paraId="25E12FE0" w14:textId="77777777" w:rsidTr="54356DE5">
        <w:trPr>
          <w:cantSplit/>
          <w:jc w:val="center"/>
        </w:trPr>
        <w:tc>
          <w:tcPr>
            <w:tcW w:w="1152" w:type="dxa"/>
            <w:shd w:val="clear" w:color="auto" w:fill="EEF4F8"/>
            <w:tcMar>
              <w:top w:w="100" w:type="dxa"/>
              <w:left w:w="130" w:type="dxa"/>
              <w:bottom w:w="100" w:type="dxa"/>
              <w:right w:w="130" w:type="dxa"/>
            </w:tcMar>
            <w:vAlign w:val="center"/>
          </w:tcPr>
          <w:p w14:paraId="6C3788B1" w14:textId="77777777" w:rsidR="008C6354" w:rsidRDefault="00AF57B7">
            <w:pPr>
              <w:spacing w:after="30" w:line="240" w:lineRule="auto"/>
              <w:jc w:val="center"/>
            </w:pPr>
            <w:r>
              <w:rPr>
                <w:sz w:val="18"/>
              </w:rPr>
              <w:t>2.3</w:t>
            </w:r>
          </w:p>
        </w:tc>
        <w:tc>
          <w:tcPr>
            <w:tcW w:w="5832" w:type="dxa"/>
            <w:shd w:val="clear" w:color="auto" w:fill="EEF4F8"/>
            <w:tcMar>
              <w:top w:w="100" w:type="dxa"/>
              <w:left w:w="130" w:type="dxa"/>
              <w:bottom w:w="100" w:type="dxa"/>
              <w:right w:w="130" w:type="dxa"/>
            </w:tcMar>
            <w:vAlign w:val="center"/>
          </w:tcPr>
          <w:p w14:paraId="2983DAA6" w14:textId="6561C759" w:rsidR="008C6354" w:rsidRDefault="00762E03" w:rsidP="54356DE5">
            <w:pPr>
              <w:rPr>
                <w:sz w:val="18"/>
                <w:szCs w:val="18"/>
              </w:rPr>
            </w:pPr>
            <w:r>
              <w:rPr>
                <w:sz w:val="18"/>
              </w:rPr>
              <w:t xml:space="preserve">Final </w:t>
            </w:r>
            <w:r w:rsidR="5508810E" w:rsidRPr="54356DE5">
              <w:rPr>
                <w:sz w:val="18"/>
                <w:szCs w:val="18"/>
              </w:rPr>
              <w:t>Front-End Capabilities Assessment(s)</w:t>
            </w:r>
          </w:p>
        </w:tc>
        <w:tc>
          <w:tcPr>
            <w:tcW w:w="2736" w:type="dxa"/>
            <w:shd w:val="clear" w:color="auto" w:fill="EEF4F8"/>
            <w:tcMar>
              <w:top w:w="100" w:type="dxa"/>
              <w:left w:w="130" w:type="dxa"/>
              <w:bottom w:w="100" w:type="dxa"/>
              <w:right w:w="130" w:type="dxa"/>
            </w:tcMar>
            <w:vAlign w:val="center"/>
          </w:tcPr>
          <w:p w14:paraId="4267DEF5" w14:textId="77777777" w:rsidR="008C6354" w:rsidRDefault="00AF57B7">
            <w:pPr>
              <w:spacing w:after="30" w:line="240" w:lineRule="auto"/>
            </w:pPr>
            <w:r>
              <w:rPr>
                <w:sz w:val="18"/>
              </w:rPr>
              <w:t>TBD before contract closeout</w:t>
            </w:r>
          </w:p>
        </w:tc>
      </w:tr>
      <w:tr w:rsidR="008C6354" w14:paraId="48D4BFCD" w14:textId="77777777" w:rsidTr="54356DE5">
        <w:trPr>
          <w:cantSplit/>
          <w:jc w:val="center"/>
        </w:trPr>
        <w:tc>
          <w:tcPr>
            <w:tcW w:w="1152" w:type="dxa"/>
            <w:tcMar>
              <w:top w:w="100" w:type="dxa"/>
              <w:left w:w="130" w:type="dxa"/>
              <w:bottom w:w="100" w:type="dxa"/>
              <w:right w:w="130" w:type="dxa"/>
            </w:tcMar>
            <w:vAlign w:val="center"/>
          </w:tcPr>
          <w:p w14:paraId="4AF67A2B" w14:textId="77777777" w:rsidR="008C6354" w:rsidRDefault="00AF57B7">
            <w:pPr>
              <w:spacing w:after="30" w:line="240" w:lineRule="auto"/>
              <w:jc w:val="center"/>
            </w:pPr>
            <w:r>
              <w:rPr>
                <w:sz w:val="18"/>
              </w:rPr>
              <w:t>3.1</w:t>
            </w:r>
          </w:p>
        </w:tc>
        <w:tc>
          <w:tcPr>
            <w:tcW w:w="5832" w:type="dxa"/>
            <w:tcMar>
              <w:top w:w="100" w:type="dxa"/>
              <w:left w:w="130" w:type="dxa"/>
              <w:bottom w:w="100" w:type="dxa"/>
              <w:right w:w="130" w:type="dxa"/>
            </w:tcMar>
            <w:vAlign w:val="center"/>
          </w:tcPr>
          <w:p w14:paraId="6CB99CA2" w14:textId="77777777" w:rsidR="008C6354" w:rsidRDefault="00AF57B7">
            <w:pPr>
              <w:spacing w:after="30" w:line="240" w:lineRule="auto"/>
            </w:pPr>
            <w:r>
              <w:rPr>
                <w:sz w:val="18"/>
              </w:rPr>
              <w:t>Technical briefing slides</w:t>
            </w:r>
          </w:p>
        </w:tc>
        <w:tc>
          <w:tcPr>
            <w:tcW w:w="2736" w:type="dxa"/>
            <w:tcMar>
              <w:top w:w="100" w:type="dxa"/>
              <w:left w:w="130" w:type="dxa"/>
              <w:bottom w:w="100" w:type="dxa"/>
              <w:right w:w="130" w:type="dxa"/>
            </w:tcMar>
            <w:vAlign w:val="center"/>
          </w:tcPr>
          <w:p w14:paraId="27BAEAF7" w14:textId="77777777" w:rsidR="008C6354" w:rsidRDefault="00AF57B7">
            <w:pPr>
              <w:spacing w:after="30" w:line="240" w:lineRule="auto"/>
            </w:pPr>
            <w:r>
              <w:rPr>
                <w:sz w:val="18"/>
              </w:rPr>
              <w:t>TBD before each briefing</w:t>
            </w:r>
          </w:p>
        </w:tc>
      </w:tr>
      <w:tr w:rsidR="008C6354" w14:paraId="2CEDDE71" w14:textId="77777777" w:rsidTr="54356DE5">
        <w:trPr>
          <w:cantSplit/>
          <w:jc w:val="center"/>
        </w:trPr>
        <w:tc>
          <w:tcPr>
            <w:tcW w:w="1152" w:type="dxa"/>
            <w:shd w:val="clear" w:color="auto" w:fill="EEF4F8"/>
            <w:tcMar>
              <w:top w:w="100" w:type="dxa"/>
              <w:left w:w="130" w:type="dxa"/>
              <w:bottom w:w="100" w:type="dxa"/>
              <w:right w:w="130" w:type="dxa"/>
            </w:tcMar>
            <w:vAlign w:val="center"/>
          </w:tcPr>
          <w:p w14:paraId="24CEEC8C" w14:textId="77777777" w:rsidR="008C6354" w:rsidRDefault="00AF57B7">
            <w:pPr>
              <w:spacing w:after="30" w:line="240" w:lineRule="auto"/>
              <w:jc w:val="center"/>
            </w:pPr>
            <w:r>
              <w:rPr>
                <w:sz w:val="18"/>
              </w:rPr>
              <w:t>3.2</w:t>
            </w:r>
          </w:p>
        </w:tc>
        <w:tc>
          <w:tcPr>
            <w:tcW w:w="5832" w:type="dxa"/>
            <w:shd w:val="clear" w:color="auto" w:fill="EEF4F8"/>
            <w:tcMar>
              <w:top w:w="100" w:type="dxa"/>
              <w:left w:w="130" w:type="dxa"/>
              <w:bottom w:w="100" w:type="dxa"/>
              <w:right w:w="130" w:type="dxa"/>
            </w:tcMar>
            <w:vAlign w:val="center"/>
          </w:tcPr>
          <w:p w14:paraId="31557EDE" w14:textId="77777777" w:rsidR="008C6354" w:rsidRDefault="00AF57B7">
            <w:pPr>
              <w:spacing w:after="30" w:line="240" w:lineRule="auto"/>
            </w:pPr>
            <w:r>
              <w:rPr>
                <w:sz w:val="18"/>
              </w:rPr>
              <w:t>Consultation memoranda</w:t>
            </w:r>
          </w:p>
        </w:tc>
        <w:tc>
          <w:tcPr>
            <w:tcW w:w="2736" w:type="dxa"/>
            <w:shd w:val="clear" w:color="auto" w:fill="EEF4F8"/>
            <w:tcMar>
              <w:top w:w="100" w:type="dxa"/>
              <w:left w:w="130" w:type="dxa"/>
              <w:bottom w:w="100" w:type="dxa"/>
              <w:right w:w="130" w:type="dxa"/>
            </w:tcMar>
            <w:vAlign w:val="center"/>
          </w:tcPr>
          <w:p w14:paraId="37F0D37B" w14:textId="77777777" w:rsidR="008C6354" w:rsidRDefault="00AF57B7">
            <w:pPr>
              <w:spacing w:after="30" w:line="240" w:lineRule="auto"/>
            </w:pPr>
            <w:r>
              <w:rPr>
                <w:sz w:val="18"/>
              </w:rPr>
              <w:t>TBD after consultations</w:t>
            </w:r>
          </w:p>
        </w:tc>
      </w:tr>
      <w:tr w:rsidR="008C6354" w14:paraId="6673F4F7" w14:textId="77777777" w:rsidTr="54356DE5">
        <w:trPr>
          <w:cantSplit/>
          <w:jc w:val="center"/>
        </w:trPr>
        <w:tc>
          <w:tcPr>
            <w:tcW w:w="1152" w:type="dxa"/>
            <w:tcMar>
              <w:top w:w="100" w:type="dxa"/>
              <w:left w:w="130" w:type="dxa"/>
              <w:bottom w:w="100" w:type="dxa"/>
              <w:right w:w="130" w:type="dxa"/>
            </w:tcMar>
            <w:vAlign w:val="center"/>
          </w:tcPr>
          <w:p w14:paraId="3C7B56D7" w14:textId="77777777" w:rsidR="008C6354" w:rsidRDefault="00AF57B7">
            <w:pPr>
              <w:spacing w:after="30" w:line="240" w:lineRule="auto"/>
              <w:jc w:val="center"/>
            </w:pPr>
            <w:r>
              <w:rPr>
                <w:sz w:val="18"/>
              </w:rPr>
              <w:t>3.3</w:t>
            </w:r>
          </w:p>
        </w:tc>
        <w:tc>
          <w:tcPr>
            <w:tcW w:w="5832" w:type="dxa"/>
            <w:tcMar>
              <w:top w:w="100" w:type="dxa"/>
              <w:left w:w="130" w:type="dxa"/>
              <w:bottom w:w="100" w:type="dxa"/>
              <w:right w:w="130" w:type="dxa"/>
            </w:tcMar>
            <w:vAlign w:val="center"/>
          </w:tcPr>
          <w:p w14:paraId="62BF3C03" w14:textId="77777777" w:rsidR="008C6354" w:rsidRDefault="00AF57B7">
            <w:pPr>
              <w:spacing w:after="30" w:line="240" w:lineRule="auto"/>
            </w:pPr>
            <w:r>
              <w:rPr>
                <w:sz w:val="18"/>
              </w:rPr>
              <w:t>Executive summary briefing materials</w:t>
            </w:r>
          </w:p>
        </w:tc>
        <w:tc>
          <w:tcPr>
            <w:tcW w:w="2736" w:type="dxa"/>
            <w:tcMar>
              <w:top w:w="100" w:type="dxa"/>
              <w:left w:w="130" w:type="dxa"/>
              <w:bottom w:w="100" w:type="dxa"/>
              <w:right w:w="130" w:type="dxa"/>
            </w:tcMar>
            <w:vAlign w:val="center"/>
          </w:tcPr>
          <w:p w14:paraId="5D6E2AFC" w14:textId="77777777" w:rsidR="008C6354" w:rsidRDefault="00AF57B7">
            <w:pPr>
              <w:spacing w:after="30" w:line="240" w:lineRule="auto"/>
            </w:pPr>
            <w:r>
              <w:rPr>
                <w:sz w:val="18"/>
              </w:rPr>
              <w:t>TBD as requested</w:t>
            </w:r>
          </w:p>
        </w:tc>
      </w:tr>
      <w:tr w:rsidR="008C6354" w14:paraId="3EA0CDCB" w14:textId="77777777" w:rsidTr="54356DE5">
        <w:trPr>
          <w:cantSplit/>
          <w:jc w:val="center"/>
        </w:trPr>
        <w:tc>
          <w:tcPr>
            <w:tcW w:w="1152" w:type="dxa"/>
            <w:shd w:val="clear" w:color="auto" w:fill="EEF4F8"/>
            <w:tcMar>
              <w:top w:w="100" w:type="dxa"/>
              <w:left w:w="130" w:type="dxa"/>
              <w:bottom w:w="100" w:type="dxa"/>
              <w:right w:w="130" w:type="dxa"/>
            </w:tcMar>
            <w:vAlign w:val="center"/>
          </w:tcPr>
          <w:p w14:paraId="09898565" w14:textId="77777777" w:rsidR="008C6354" w:rsidRDefault="00AF57B7">
            <w:pPr>
              <w:spacing w:after="30" w:line="240" w:lineRule="auto"/>
              <w:jc w:val="center"/>
            </w:pPr>
            <w:r>
              <w:rPr>
                <w:sz w:val="18"/>
              </w:rPr>
              <w:t>4.1</w:t>
            </w:r>
          </w:p>
        </w:tc>
        <w:tc>
          <w:tcPr>
            <w:tcW w:w="5832" w:type="dxa"/>
            <w:shd w:val="clear" w:color="auto" w:fill="EEF4F8"/>
            <w:tcMar>
              <w:top w:w="100" w:type="dxa"/>
              <w:left w:w="130" w:type="dxa"/>
              <w:bottom w:w="100" w:type="dxa"/>
              <w:right w:w="130" w:type="dxa"/>
            </w:tcMar>
            <w:vAlign w:val="center"/>
          </w:tcPr>
          <w:p w14:paraId="7BCF291D" w14:textId="77777777" w:rsidR="008C6354" w:rsidRDefault="00AF57B7">
            <w:pPr>
              <w:spacing w:after="30" w:line="240" w:lineRule="auto"/>
            </w:pPr>
            <w:r>
              <w:rPr>
                <w:sz w:val="18"/>
              </w:rPr>
              <w:t>Final Consultation Report</w:t>
            </w:r>
          </w:p>
        </w:tc>
        <w:tc>
          <w:tcPr>
            <w:tcW w:w="2736" w:type="dxa"/>
            <w:shd w:val="clear" w:color="auto" w:fill="EEF4F8"/>
            <w:tcMar>
              <w:top w:w="100" w:type="dxa"/>
              <w:left w:w="130" w:type="dxa"/>
              <w:bottom w:w="100" w:type="dxa"/>
              <w:right w:w="130" w:type="dxa"/>
            </w:tcMar>
            <w:vAlign w:val="center"/>
          </w:tcPr>
          <w:p w14:paraId="55692AEE" w14:textId="77777777" w:rsidR="008C6354" w:rsidRDefault="00AF57B7">
            <w:pPr>
              <w:spacing w:after="30" w:line="240" w:lineRule="auto"/>
            </w:pPr>
            <w:r>
              <w:rPr>
                <w:sz w:val="18"/>
              </w:rPr>
              <w:t>TBD after validation activities</w:t>
            </w:r>
          </w:p>
        </w:tc>
      </w:tr>
      <w:tr w:rsidR="008C6354" w14:paraId="30534F76" w14:textId="77777777" w:rsidTr="54356DE5">
        <w:trPr>
          <w:cantSplit/>
          <w:jc w:val="center"/>
        </w:trPr>
        <w:tc>
          <w:tcPr>
            <w:tcW w:w="1152" w:type="dxa"/>
            <w:tcMar>
              <w:top w:w="100" w:type="dxa"/>
              <w:left w:w="130" w:type="dxa"/>
              <w:bottom w:w="100" w:type="dxa"/>
              <w:right w:w="130" w:type="dxa"/>
            </w:tcMar>
            <w:vAlign w:val="center"/>
          </w:tcPr>
          <w:p w14:paraId="3A03BCB6" w14:textId="77777777" w:rsidR="008C6354" w:rsidRDefault="00AF57B7">
            <w:pPr>
              <w:spacing w:after="30" w:line="240" w:lineRule="auto"/>
              <w:jc w:val="center"/>
            </w:pPr>
            <w:r>
              <w:rPr>
                <w:sz w:val="18"/>
              </w:rPr>
              <w:t>4.2</w:t>
            </w:r>
          </w:p>
        </w:tc>
        <w:tc>
          <w:tcPr>
            <w:tcW w:w="5832" w:type="dxa"/>
            <w:tcMar>
              <w:top w:w="100" w:type="dxa"/>
              <w:left w:w="130" w:type="dxa"/>
              <w:bottom w:w="100" w:type="dxa"/>
              <w:right w:w="130" w:type="dxa"/>
            </w:tcMar>
            <w:vAlign w:val="center"/>
          </w:tcPr>
          <w:p w14:paraId="3C6B7566" w14:textId="77777777" w:rsidR="008C6354" w:rsidRDefault="00AF57B7">
            <w:pPr>
              <w:spacing w:after="30" w:line="240" w:lineRule="auto"/>
            </w:pPr>
            <w:r>
              <w:rPr>
                <w:sz w:val="18"/>
              </w:rPr>
              <w:t>Capability Prioritization Matrix</w:t>
            </w:r>
          </w:p>
        </w:tc>
        <w:tc>
          <w:tcPr>
            <w:tcW w:w="2736" w:type="dxa"/>
            <w:tcMar>
              <w:top w:w="100" w:type="dxa"/>
              <w:left w:w="130" w:type="dxa"/>
              <w:bottom w:w="100" w:type="dxa"/>
              <w:right w:w="130" w:type="dxa"/>
            </w:tcMar>
            <w:vAlign w:val="center"/>
          </w:tcPr>
          <w:p w14:paraId="01839763" w14:textId="77777777" w:rsidR="008C6354" w:rsidRDefault="00AF57B7">
            <w:pPr>
              <w:spacing w:after="30" w:line="240" w:lineRule="auto"/>
            </w:pPr>
            <w:r>
              <w:rPr>
                <w:sz w:val="18"/>
              </w:rPr>
              <w:t>TBD with final report</w:t>
            </w:r>
          </w:p>
        </w:tc>
      </w:tr>
    </w:tbl>
    <w:p w14:paraId="117CBB49" w14:textId="44080DCC" w:rsidR="00AE4498" w:rsidRPr="00A75D76" w:rsidRDefault="00AE4498" w:rsidP="00AE4498">
      <w:pPr>
        <w:rPr>
          <w:rFonts w:asciiTheme="majorHAnsi" w:eastAsiaTheme="majorEastAsia" w:hAnsiTheme="majorHAnsi" w:cstheme="majorBidi"/>
          <w:b/>
          <w:bCs/>
          <w:color w:val="1F4E79"/>
          <w:sz w:val="30"/>
          <w:szCs w:val="28"/>
        </w:rPr>
      </w:pPr>
      <w:r w:rsidRPr="00A75D76">
        <w:rPr>
          <w:rFonts w:asciiTheme="majorHAnsi" w:eastAsiaTheme="majorEastAsia" w:hAnsiTheme="majorHAnsi" w:cstheme="majorBidi"/>
          <w:b/>
          <w:bCs/>
          <w:color w:val="1F4E79"/>
          <w:sz w:val="30"/>
          <w:szCs w:val="28"/>
        </w:rPr>
        <w:br/>
      </w:r>
      <w:r w:rsidR="00481E53">
        <w:rPr>
          <w:rFonts w:asciiTheme="majorHAnsi" w:eastAsiaTheme="majorEastAsia" w:hAnsiTheme="majorHAnsi" w:cstheme="majorBidi"/>
          <w:b/>
          <w:bCs/>
          <w:color w:val="1F4E79"/>
          <w:sz w:val="30"/>
          <w:szCs w:val="28"/>
        </w:rPr>
        <w:t>6</w:t>
      </w:r>
      <w:r w:rsidR="00A75D76">
        <w:rPr>
          <w:rFonts w:asciiTheme="majorHAnsi" w:eastAsiaTheme="majorEastAsia" w:hAnsiTheme="majorHAnsi" w:cstheme="majorBidi"/>
          <w:b/>
          <w:bCs/>
          <w:color w:val="1F4E79"/>
          <w:sz w:val="30"/>
          <w:szCs w:val="28"/>
        </w:rPr>
        <w:t xml:space="preserve">. </w:t>
      </w:r>
      <w:r w:rsidRPr="00A75D76">
        <w:rPr>
          <w:rFonts w:asciiTheme="majorHAnsi" w:eastAsiaTheme="majorEastAsia" w:hAnsiTheme="majorHAnsi" w:cstheme="majorBidi"/>
          <w:b/>
          <w:bCs/>
          <w:color w:val="1F4E79"/>
          <w:sz w:val="30"/>
          <w:szCs w:val="28"/>
        </w:rPr>
        <w:t>Proposal Requirements:</w:t>
      </w:r>
    </w:p>
    <w:p w14:paraId="139FEEAD" w14:textId="0CA66BC1" w:rsidR="00BF1C26" w:rsidRPr="00096961" w:rsidRDefault="00BF1C26" w:rsidP="00B67764">
      <w:pPr>
        <w:pStyle w:val="ListBullet"/>
        <w:jc w:val="both"/>
      </w:pPr>
      <w:r w:rsidRPr="00096961">
        <w:t>Statement of Interest and Technical Capabilities</w:t>
      </w:r>
    </w:p>
    <w:p w14:paraId="79941E1D" w14:textId="293859A8" w:rsidR="00BF1C26" w:rsidRPr="00096961" w:rsidRDefault="00BF1C26" w:rsidP="00B67764">
      <w:pPr>
        <w:pStyle w:val="ListBullet"/>
        <w:jc w:val="both"/>
      </w:pPr>
      <w:r w:rsidRPr="00096961">
        <w:t>Technical Management Approach</w:t>
      </w:r>
      <w:r w:rsidR="00096961" w:rsidRPr="00096961">
        <w:t>:</w:t>
      </w:r>
      <w:r w:rsidRPr="00096961">
        <w:t xml:space="preserve"> The technical management approach should be no more than 10 pages and describe the offeror’s proposed methodology for assessments, research, stakeholder engagement, analysis, quality assurance, and technical consultations, including SME management, staffing, schedule, and risk management.</w:t>
      </w:r>
    </w:p>
    <w:p w14:paraId="62C44FD1" w14:textId="77777777" w:rsidR="006073F8" w:rsidRPr="00096961" w:rsidRDefault="00762E03" w:rsidP="00B67764">
      <w:pPr>
        <w:pStyle w:val="ListBullet"/>
        <w:jc w:val="both"/>
      </w:pPr>
      <w:r>
        <w:t>Identification of Relevant Military Capability Areas</w:t>
      </w:r>
      <w:r w:rsidR="1349AF22">
        <w:t>:</w:t>
      </w:r>
      <w:r>
        <w:t xml:space="preserve"> Offerors shall specifically identify the military capability areas from Section 3.1 for which they are proposing support and describe their relevant capabilities, experience, and expertise in each area. Offerors should identify proposed lead researchers and subject matter experts and provide relevant examples of past performance, projects, studies, or assessments.</w:t>
      </w:r>
    </w:p>
    <w:p w14:paraId="6C405E13" w14:textId="7FB75EB3" w:rsidR="006073F8" w:rsidRPr="00096961" w:rsidRDefault="5DAD70E1" w:rsidP="00B67764">
      <w:pPr>
        <w:pStyle w:val="ListBullet"/>
        <w:jc w:val="both"/>
      </w:pPr>
      <w:r>
        <w:t>Cost Proposal: Offerors must include a clear cost breakdown for all proposed work, including labor, travel, materials, other direct costs, and all applicable taxes in their budget proposal.</w:t>
      </w:r>
    </w:p>
    <w:p w14:paraId="08F1D80E" w14:textId="3F33EB4E" w:rsidR="00BF1C26" w:rsidRPr="00096961" w:rsidRDefault="00BF1C26" w:rsidP="00B67764">
      <w:pPr>
        <w:pStyle w:val="ListBullet"/>
        <w:jc w:val="both"/>
      </w:pPr>
      <w:r w:rsidRPr="00096961">
        <w:t>CV(s) / Résumé(s) of Proposed Key Personnel</w:t>
      </w:r>
    </w:p>
    <w:p w14:paraId="40FA3F9E" w14:textId="2AD52D3E" w:rsidR="00BF1C26" w:rsidRPr="00096961" w:rsidRDefault="00BF1C26" w:rsidP="00B67764">
      <w:pPr>
        <w:pStyle w:val="ListBullet"/>
        <w:jc w:val="both"/>
      </w:pPr>
      <w:r w:rsidRPr="00096961">
        <w:t>Recent Relevant Experience and References/Past Performance</w:t>
      </w:r>
    </w:p>
    <w:p w14:paraId="6BA4BF6A" w14:textId="77777777" w:rsidR="006073F8" w:rsidRPr="00096961" w:rsidRDefault="00762E03" w:rsidP="00B67764">
      <w:pPr>
        <w:pStyle w:val="ListBullet"/>
        <w:jc w:val="both"/>
      </w:pPr>
      <w:r>
        <w:t>Regional Expertise</w:t>
      </w:r>
      <w:r w:rsidR="3BBEBC8F">
        <w:t>:</w:t>
      </w:r>
      <w:r>
        <w:t xml:space="preserve"> Identify relevant experience in one or more of the geographic regions identified in Section 1.</w:t>
      </w:r>
    </w:p>
    <w:p w14:paraId="759C0BD4" w14:textId="0F1E59E1" w:rsidR="006073F8" w:rsidRPr="00096961" w:rsidRDefault="00762E03" w:rsidP="00B67764">
      <w:pPr>
        <w:pStyle w:val="ListBullet"/>
        <w:jc w:val="both"/>
      </w:pPr>
      <w:r>
        <w:t>Front</w:t>
      </w:r>
      <w:r w:rsidR="4519B94F">
        <w:t>-</w:t>
      </w:r>
      <w:r>
        <w:t>End Capabilities Assessment Experience</w:t>
      </w:r>
      <w:r w:rsidR="4519B94F">
        <w:t>:</w:t>
      </w:r>
      <w:r>
        <w:t xml:space="preserve"> Describe relevant experience assessing defense requirements, identifying capability gaps, conducting defense market research, evaluating U.S. and allied solutions, and assessing demonstration, testing, and procurement pathways.</w:t>
      </w:r>
    </w:p>
    <w:p w14:paraId="45DE30D5" w14:textId="5261B242" w:rsidR="006073F8" w:rsidRPr="009A5A65" w:rsidRDefault="00762E03" w:rsidP="00B67764">
      <w:pPr>
        <w:pStyle w:val="ListBullet"/>
        <w:jc w:val="both"/>
      </w:pPr>
      <w:r>
        <w:t>NAICS: Offerors should identify the NAICS code most applicable to their proposed scope of work</w:t>
      </w:r>
      <w:r w:rsidR="00AD3B9B">
        <w:t xml:space="preserve"> and include a brief explanation if more than </w:t>
      </w:r>
      <w:proofErr w:type="gramStart"/>
      <w:r w:rsidR="00AD3B9B">
        <w:t xml:space="preserve">one </w:t>
      </w:r>
      <w:r>
        <w:t>.</w:t>
      </w:r>
      <w:proofErr w:type="gramEnd"/>
      <w:r w:rsidR="00AD3B9B">
        <w:t xml:space="preserve"> code may apply.</w:t>
      </w:r>
    </w:p>
    <w:p w14:paraId="2FBA69DE" w14:textId="77777777" w:rsidR="00EB2471" w:rsidRDefault="00EB2471" w:rsidP="54356DE5">
      <w:pPr>
        <w:rPr>
          <w:rFonts w:asciiTheme="majorHAnsi" w:eastAsiaTheme="majorEastAsia" w:hAnsiTheme="majorHAnsi" w:cstheme="majorBidi"/>
          <w:b/>
          <w:bCs/>
          <w:color w:val="1F4E79"/>
          <w:sz w:val="30"/>
          <w:szCs w:val="28"/>
        </w:rPr>
      </w:pPr>
    </w:p>
    <w:p w14:paraId="1878E2B4" w14:textId="04439511" w:rsidR="006073F8" w:rsidRPr="00F21533" w:rsidRDefault="00762E03" w:rsidP="54356DE5">
      <w:pPr>
        <w:rPr>
          <w:rFonts w:asciiTheme="majorHAnsi" w:eastAsiaTheme="majorEastAsia" w:hAnsiTheme="majorHAnsi" w:cstheme="majorBidi"/>
          <w:b/>
          <w:bCs/>
          <w:color w:val="1F4E79"/>
          <w:sz w:val="30"/>
          <w:szCs w:val="28"/>
        </w:rPr>
      </w:pPr>
      <w:r>
        <w:rPr>
          <w:rFonts w:asciiTheme="majorHAnsi" w:eastAsiaTheme="majorEastAsia" w:hAnsiTheme="majorHAnsi" w:cstheme="majorBidi"/>
          <w:b/>
          <w:bCs/>
          <w:color w:val="1F4E79"/>
          <w:sz w:val="30"/>
          <w:szCs w:val="28"/>
        </w:rPr>
        <w:lastRenderedPageBreak/>
        <w:t xml:space="preserve">7. </w:t>
      </w:r>
      <w:r w:rsidR="3C3850F7" w:rsidRPr="54356DE5">
        <w:rPr>
          <w:rFonts w:ascii="Calibri" w:hAnsi="Calibri" w:cs="Calibri"/>
          <w:b/>
          <w:bCs/>
          <w:color w:val="1F4E79"/>
          <w:sz w:val="30"/>
          <w:szCs w:val="30"/>
        </w:rPr>
        <w:t>Offeror</w:t>
      </w:r>
      <w:r w:rsidRPr="00F21533">
        <w:rPr>
          <w:rFonts w:asciiTheme="majorHAnsi" w:eastAsiaTheme="majorEastAsia" w:hAnsiTheme="majorHAnsi" w:cstheme="majorBidi"/>
          <w:b/>
          <w:bCs/>
          <w:color w:val="1F4E79"/>
          <w:sz w:val="30"/>
          <w:szCs w:val="28"/>
        </w:rPr>
        <w:t xml:space="preserve"> Requirements:</w:t>
      </w:r>
    </w:p>
    <w:p w14:paraId="7B43784E" w14:textId="03112088" w:rsidR="006073F8" w:rsidRPr="006E03F7" w:rsidRDefault="00762E03" w:rsidP="00B67764">
      <w:pPr>
        <w:jc w:val="both"/>
      </w:pPr>
      <w:r>
        <w:t xml:space="preserve">The offeror selected contractor or subject matter expert shall </w:t>
      </w:r>
      <w:r w:rsidR="759329AE">
        <w:t>demonstrate demonstrated experience</w:t>
      </w:r>
      <w:r>
        <w:t xml:space="preserve"> conducting defense analysis, military capability assessments, defense modernization studies, security cooperation activities, defense market research, or related technical assessments. The contractor or subject matter expert should be able to assess partner-nation defense requirements and evaluate U.S. and allied solutions based on capability gaps, interoperability, sustainment, affordability, technology maturity, and procurement considerations.</w:t>
      </w:r>
    </w:p>
    <w:p w14:paraId="4D774918" w14:textId="526787DA" w:rsidR="006E03F7" w:rsidRPr="006E03F7" w:rsidRDefault="006E03F7" w:rsidP="006E03F7">
      <w:r w:rsidRPr="006E03F7">
        <w:t xml:space="preserve">The </w:t>
      </w:r>
      <w:r w:rsidR="005B3255">
        <w:t>offeror</w:t>
      </w:r>
      <w:r w:rsidRPr="006E03F7">
        <w:t xml:space="preserve"> should also demonstrate experience in one or more of the following areas:</w:t>
      </w:r>
    </w:p>
    <w:p w14:paraId="743BED4A" w14:textId="77777777" w:rsidR="006E03F7" w:rsidRPr="006E03F7" w:rsidRDefault="006E03F7" w:rsidP="006E03F7">
      <w:pPr>
        <w:numPr>
          <w:ilvl w:val="0"/>
          <w:numId w:val="10"/>
        </w:numPr>
      </w:pPr>
      <w:r w:rsidRPr="006E03F7">
        <w:rPr>
          <w:b/>
          <w:bCs/>
        </w:rPr>
        <w:t>Defense Capability and Requirements Assessment</w:t>
      </w:r>
      <w:r w:rsidRPr="006E03F7">
        <w:br/>
        <w:t>• Capability gap and force modernization analysis</w:t>
      </w:r>
      <w:r w:rsidRPr="006E03F7">
        <w:br/>
        <w:t>• Operational requirements and mission effectiveness</w:t>
      </w:r>
      <w:r w:rsidRPr="006E03F7">
        <w:br/>
        <w:t xml:space="preserve">• Force structure, equipment, and comparative capability assessments </w:t>
      </w:r>
    </w:p>
    <w:p w14:paraId="3A0B2C57" w14:textId="77777777" w:rsidR="006E03F7" w:rsidRPr="006E03F7" w:rsidRDefault="006E03F7" w:rsidP="006E03F7">
      <w:pPr>
        <w:numPr>
          <w:ilvl w:val="0"/>
          <w:numId w:val="10"/>
        </w:numPr>
      </w:pPr>
      <w:r w:rsidRPr="006E03F7">
        <w:rPr>
          <w:b/>
          <w:bCs/>
        </w:rPr>
        <w:t>Defense Systems and Market Analysis</w:t>
      </w:r>
      <w:r w:rsidRPr="006E03F7">
        <w:br/>
        <w:t>• Defense market research and supplier identification</w:t>
      </w:r>
      <w:r w:rsidRPr="006E03F7">
        <w:br/>
        <w:t>• U.S., allied, and international defense solutions</w:t>
      </w:r>
      <w:r w:rsidRPr="006E03F7">
        <w:br/>
        <w:t>• Procurement pathways, technology maturity, and acquisition timelines</w:t>
      </w:r>
      <w:r w:rsidRPr="006E03F7">
        <w:br/>
        <w:t xml:space="preserve">• Demonstration, testing, prototyping, and trial opportunities </w:t>
      </w:r>
    </w:p>
    <w:p w14:paraId="59B0D434" w14:textId="7046EECE" w:rsidR="006E03F7" w:rsidRPr="006E03F7" w:rsidRDefault="006E03F7" w:rsidP="006E03F7">
      <w:pPr>
        <w:numPr>
          <w:ilvl w:val="0"/>
          <w:numId w:val="10"/>
        </w:numPr>
      </w:pPr>
      <w:r w:rsidRPr="006E03F7">
        <w:rPr>
          <w:b/>
          <w:bCs/>
        </w:rPr>
        <w:t>Defense Modernization and Security Cooperation</w:t>
      </w:r>
      <w:r w:rsidRPr="006E03F7">
        <w:br/>
        <w:t>• Defense modernization</w:t>
      </w:r>
      <w:r w:rsidR="00B25990">
        <w:t>, Defense Industrial Base</w:t>
      </w:r>
      <w:r w:rsidRPr="006E03F7">
        <w:t xml:space="preserve"> and partner nation planning</w:t>
      </w:r>
      <w:r w:rsidRPr="006E03F7">
        <w:br/>
        <w:t>• Interoperability and security cooperation</w:t>
      </w:r>
      <w:r w:rsidRPr="006E03F7">
        <w:br/>
        <w:t xml:space="preserve">• Assessment of U.S. and allied defense systems and solutions </w:t>
      </w:r>
    </w:p>
    <w:p w14:paraId="6FC9BD7B" w14:textId="77777777" w:rsidR="006E03F7" w:rsidRPr="006E03F7" w:rsidRDefault="006E03F7" w:rsidP="006E03F7">
      <w:pPr>
        <w:numPr>
          <w:ilvl w:val="0"/>
          <w:numId w:val="10"/>
        </w:numPr>
      </w:pPr>
      <w:r w:rsidRPr="006E03F7">
        <w:rPr>
          <w:b/>
          <w:bCs/>
        </w:rPr>
        <w:t>Military Capability Areas</w:t>
      </w:r>
      <w:r w:rsidRPr="006E03F7">
        <w:br/>
        <w:t>• Air and missile defense</w:t>
      </w:r>
      <w:r w:rsidRPr="006E03F7">
        <w:br/>
        <w:t>• Counter unmanned aircraft systems</w:t>
      </w:r>
      <w:r w:rsidRPr="006E03F7">
        <w:br/>
        <w:t>• Electronic warfare and electromagnetic spectrum operations</w:t>
      </w:r>
      <w:r w:rsidRPr="006E03F7">
        <w:br/>
        <w:t>• ISR and C5ISR</w:t>
      </w:r>
      <w:r w:rsidRPr="006E03F7">
        <w:br/>
        <w:t xml:space="preserve">• Precision fires and </w:t>
      </w:r>
      <w:proofErr w:type="gramStart"/>
      <w:r w:rsidRPr="006E03F7">
        <w:t>long range</w:t>
      </w:r>
      <w:proofErr w:type="gramEnd"/>
      <w:r w:rsidRPr="006E03F7">
        <w:t xml:space="preserve"> strike</w:t>
      </w:r>
      <w:r w:rsidRPr="006E03F7">
        <w:br/>
        <w:t>• Ground maneuver and combat vehicles</w:t>
      </w:r>
      <w:r w:rsidRPr="006E03F7">
        <w:br/>
        <w:t>• Force protection and base defense</w:t>
      </w:r>
      <w:r w:rsidRPr="006E03F7">
        <w:br/>
        <w:t>• Maritime and naval capabilities</w:t>
      </w:r>
      <w:r w:rsidRPr="006E03F7">
        <w:br/>
        <w:t>• Aviation, air mobility, airspace, and air operations</w:t>
      </w:r>
      <w:r w:rsidRPr="006E03F7">
        <w:br/>
        <w:t>• Logistics, sustainment, and maintenance</w:t>
      </w:r>
      <w:r w:rsidRPr="006E03F7">
        <w:br/>
        <w:t xml:space="preserve">• Testing, demonstration, prototyping, and experimentation </w:t>
      </w:r>
    </w:p>
    <w:p w14:paraId="29771BC9" w14:textId="39AA15DB" w:rsidR="006E03F7" w:rsidRPr="006E03F7" w:rsidRDefault="006E03F7" w:rsidP="006E03F7">
      <w:pPr>
        <w:numPr>
          <w:ilvl w:val="0"/>
          <w:numId w:val="10"/>
        </w:numPr>
      </w:pPr>
      <w:r w:rsidRPr="006E03F7">
        <w:rPr>
          <w:b/>
          <w:bCs/>
        </w:rPr>
        <w:t>Subject Matter Expertise and Experience</w:t>
      </w:r>
      <w:r w:rsidRPr="006E03F7">
        <w:br/>
        <w:t>• Experience producing technical reports, studies, and briefings for government or military audiences.</w:t>
      </w:r>
      <w:r w:rsidRPr="006E03F7">
        <w:br/>
        <w:t>• Regional expertise in one or more target regions identified in Section 1.</w:t>
      </w:r>
      <w:r w:rsidRPr="006E03F7">
        <w:br/>
        <w:t>• Ability to support sensitive discussions with appropriate discretion and professional judgment.</w:t>
      </w:r>
    </w:p>
    <w:p w14:paraId="2B011495" w14:textId="4ABD260F" w:rsidR="006073F8" w:rsidRPr="00A75D76" w:rsidRDefault="00762E03" w:rsidP="54356DE5">
      <w:pPr>
        <w:rPr>
          <w:rFonts w:asciiTheme="majorHAnsi" w:eastAsiaTheme="majorEastAsia" w:hAnsiTheme="majorHAnsi" w:cstheme="majorBidi"/>
          <w:b/>
          <w:bCs/>
          <w:color w:val="1F4E79"/>
          <w:sz w:val="30"/>
          <w:szCs w:val="28"/>
        </w:rPr>
      </w:pPr>
      <w:r w:rsidRPr="54356DE5">
        <w:rPr>
          <w:rFonts w:ascii="Calibri" w:hAnsi="Calibri"/>
          <w:b/>
          <w:bCs/>
          <w:color w:val="1F4E79"/>
          <w:sz w:val="30"/>
          <w:szCs w:val="30"/>
        </w:rPr>
        <w:t xml:space="preserve">8. </w:t>
      </w:r>
      <w:r w:rsidR="00F37717" w:rsidRPr="54356DE5">
        <w:rPr>
          <w:rFonts w:ascii="Calibri" w:hAnsi="Calibri" w:cs="Calibri"/>
          <w:b/>
          <w:bCs/>
          <w:color w:val="1F4E79"/>
          <w:sz w:val="30"/>
          <w:szCs w:val="30"/>
        </w:rPr>
        <w:t>Offeror Personnel Requirements</w:t>
      </w:r>
      <w:r w:rsidRPr="54356DE5">
        <w:rPr>
          <w:rFonts w:ascii="Calibri" w:hAnsi="Calibri"/>
          <w:b/>
          <w:bCs/>
          <w:color w:val="1F4E79"/>
          <w:sz w:val="30"/>
          <w:szCs w:val="30"/>
        </w:rPr>
        <w:t>:  </w:t>
      </w:r>
    </w:p>
    <w:p w14:paraId="546E627F" w14:textId="0A7786D9" w:rsidR="006073F8" w:rsidRPr="007B76A2" w:rsidRDefault="00D64F0F" w:rsidP="00B67764">
      <w:pPr>
        <w:jc w:val="both"/>
      </w:pPr>
      <w:r>
        <w:t>The offeror</w:t>
      </w:r>
      <w:r w:rsidR="570A4A18">
        <w:t xml:space="preserve"> </w:t>
      </w:r>
      <w:r>
        <w:t xml:space="preserve">Subject matter experts proposed under this RFP should propose personnel with at least 7 to 10 years of relevant professional experience in defense modernization, military capabilities, defense systems, or security cooperation. Applicable experience </w:t>
      </w:r>
      <w:proofErr w:type="gramStart"/>
      <w:r>
        <w:t>may</w:t>
      </w:r>
      <w:r w:rsidR="006176C4">
        <w:t xml:space="preserve"> </w:t>
      </w:r>
      <w:r>
        <w:t xml:space="preserve"> include</w:t>
      </w:r>
      <w:proofErr w:type="gramEnd"/>
      <w:r>
        <w:t xml:space="preserve"> technical or operational assessments, capability gap analyses, Front-End Capabilities Assessments, evaluation of U.S., allied, and international defense systems, preparation of technical reports and briefings for government or military audiences, and engagement with government, military, policy, or defense industry </w:t>
      </w:r>
      <w:proofErr w:type="gramStart"/>
      <w:r>
        <w:t>stakeholders..</w:t>
      </w:r>
      <w:proofErr w:type="gramEnd"/>
    </w:p>
    <w:p w14:paraId="19EE4068" w14:textId="552744CE" w:rsidR="007B76A2" w:rsidRPr="007B76A2" w:rsidRDefault="007B76A2" w:rsidP="00B67764">
      <w:pPr>
        <w:pStyle w:val="ListParagraph"/>
        <w:numPr>
          <w:ilvl w:val="0"/>
          <w:numId w:val="14"/>
        </w:numPr>
        <w:jc w:val="both"/>
      </w:pPr>
      <w:r w:rsidRPr="007B76A2">
        <w:t>Expertise in defense modernization, military capabilities, defense systems, or security cooperation.</w:t>
      </w:r>
    </w:p>
    <w:p w14:paraId="642990AC" w14:textId="23B4E3B5" w:rsidR="007B76A2" w:rsidRPr="007B76A2" w:rsidRDefault="007B76A2" w:rsidP="00B67764">
      <w:pPr>
        <w:pStyle w:val="ListParagraph"/>
        <w:numPr>
          <w:ilvl w:val="0"/>
          <w:numId w:val="14"/>
        </w:numPr>
        <w:jc w:val="both"/>
      </w:pPr>
      <w:r w:rsidRPr="007B76A2">
        <w:t xml:space="preserve">Experience conducting technical or operational assessments, capability gap analyses, and </w:t>
      </w:r>
      <w:proofErr w:type="gramStart"/>
      <w:r w:rsidRPr="007B76A2">
        <w:t>Front End</w:t>
      </w:r>
      <w:proofErr w:type="gramEnd"/>
      <w:r w:rsidRPr="007B76A2">
        <w:t xml:space="preserve"> Capabilities Assessments.</w:t>
      </w:r>
    </w:p>
    <w:p w14:paraId="29A00DD9" w14:textId="2192265E" w:rsidR="007B76A2" w:rsidRPr="007B76A2" w:rsidRDefault="007B76A2" w:rsidP="00B67764">
      <w:pPr>
        <w:pStyle w:val="ListParagraph"/>
        <w:numPr>
          <w:ilvl w:val="0"/>
          <w:numId w:val="14"/>
        </w:numPr>
        <w:jc w:val="both"/>
      </w:pPr>
      <w:r w:rsidRPr="007B76A2">
        <w:t>Experience evaluating U.S., allied, and international defense systems and procurement options.</w:t>
      </w:r>
    </w:p>
    <w:p w14:paraId="7C3FFEDE" w14:textId="75FC98C0" w:rsidR="007B76A2" w:rsidRPr="007B76A2" w:rsidRDefault="007B76A2" w:rsidP="00B67764">
      <w:pPr>
        <w:pStyle w:val="ListParagraph"/>
        <w:numPr>
          <w:ilvl w:val="0"/>
          <w:numId w:val="14"/>
        </w:numPr>
        <w:jc w:val="both"/>
      </w:pPr>
      <w:r w:rsidRPr="007B76A2">
        <w:t>Demonstrated expertise in one or more military capability areas identified in Section 3.1.</w:t>
      </w:r>
    </w:p>
    <w:p w14:paraId="3E217DF7" w14:textId="59FDF177" w:rsidR="007B76A2" w:rsidRPr="007B76A2" w:rsidRDefault="007B76A2" w:rsidP="00B67764">
      <w:pPr>
        <w:pStyle w:val="ListParagraph"/>
        <w:numPr>
          <w:ilvl w:val="0"/>
          <w:numId w:val="14"/>
        </w:numPr>
        <w:jc w:val="both"/>
      </w:pPr>
      <w:r w:rsidRPr="007B76A2">
        <w:t>Experience preparing technical reports, studies, briefings, and recommendations for government or military audiences.</w:t>
      </w:r>
    </w:p>
    <w:p w14:paraId="25EA3530" w14:textId="7E4785B4" w:rsidR="007B76A2" w:rsidRPr="007B76A2" w:rsidRDefault="007B76A2" w:rsidP="00B67764">
      <w:pPr>
        <w:pStyle w:val="ListParagraph"/>
        <w:numPr>
          <w:ilvl w:val="0"/>
          <w:numId w:val="14"/>
        </w:numPr>
        <w:jc w:val="both"/>
      </w:pPr>
      <w:r w:rsidRPr="007B76A2">
        <w:lastRenderedPageBreak/>
        <w:t>Experience engaging with government officials, military leaders, policymakers, or defense industry representatives.</w:t>
      </w:r>
    </w:p>
    <w:p w14:paraId="25073EB7" w14:textId="18553891" w:rsidR="007B76A2" w:rsidRPr="007B76A2" w:rsidRDefault="007B76A2" w:rsidP="00B67764">
      <w:pPr>
        <w:pStyle w:val="ListParagraph"/>
        <w:numPr>
          <w:ilvl w:val="0"/>
          <w:numId w:val="14"/>
        </w:numPr>
        <w:jc w:val="both"/>
      </w:pPr>
      <w:r w:rsidRPr="007B76A2">
        <w:t>Regional expertise in one or more target regions identified in Section 1.</w:t>
      </w:r>
    </w:p>
    <w:p w14:paraId="21FDC8E0" w14:textId="78EA032C" w:rsidR="007B76A2" w:rsidRPr="007B76A2" w:rsidRDefault="007B76A2" w:rsidP="00B67764">
      <w:pPr>
        <w:pStyle w:val="ListParagraph"/>
        <w:numPr>
          <w:ilvl w:val="0"/>
          <w:numId w:val="14"/>
        </w:numPr>
        <w:jc w:val="both"/>
      </w:pPr>
      <w:r w:rsidRPr="007B76A2">
        <w:t>Knowledge of U.S. and allied defense procurement, interoperability, sustainment, or security cooperation.</w:t>
      </w:r>
    </w:p>
    <w:p w14:paraId="448F536D" w14:textId="59C441C1" w:rsidR="006073F8" w:rsidRPr="007B76A2" w:rsidRDefault="00762E03" w:rsidP="00B67764">
      <w:pPr>
        <w:pStyle w:val="ListParagraph"/>
        <w:numPr>
          <w:ilvl w:val="0"/>
          <w:numId w:val="14"/>
        </w:numPr>
        <w:jc w:val="both"/>
      </w:pPr>
      <w:r>
        <w:t>Ability to handle sensitive defense</w:t>
      </w:r>
      <w:r w:rsidR="4F668FA5">
        <w:t>-</w:t>
      </w:r>
      <w:r>
        <w:t>related information with appropriate discretion and professional judgment.</w:t>
      </w:r>
    </w:p>
    <w:p w14:paraId="79458682" w14:textId="6D2E3154" w:rsidR="006073F8" w:rsidRDefault="75738F96" w:rsidP="00B67764">
      <w:pPr>
        <w:pStyle w:val="ListParagraph"/>
        <w:numPr>
          <w:ilvl w:val="0"/>
          <w:numId w:val="6"/>
        </w:numPr>
        <w:jc w:val="both"/>
      </w:pPr>
      <w:r>
        <w:t>Ability to handle sensitive defense-related information with appropriate discretion and professional judgment.</w:t>
      </w:r>
    </w:p>
    <w:p w14:paraId="0973175C" w14:textId="77777777" w:rsidR="009A604C" w:rsidRDefault="009A604C" w:rsidP="00B67764">
      <w:pPr>
        <w:spacing w:after="0"/>
        <w:jc w:val="both"/>
      </w:pPr>
    </w:p>
    <w:p w14:paraId="289ACCBE" w14:textId="75B5E8BF" w:rsidR="009A604C" w:rsidRDefault="009A604C" w:rsidP="00B67764">
      <w:pPr>
        <w:jc w:val="both"/>
        <w:rPr>
          <w:rFonts w:asciiTheme="majorHAnsi" w:eastAsiaTheme="majorEastAsia" w:hAnsiTheme="majorHAnsi" w:cstheme="majorBidi"/>
          <w:b/>
          <w:bCs/>
          <w:color w:val="1F4E79"/>
          <w:sz w:val="30"/>
          <w:szCs w:val="28"/>
        </w:rPr>
      </w:pPr>
      <w:r w:rsidRPr="009A604C">
        <w:rPr>
          <w:rFonts w:asciiTheme="majorHAnsi" w:eastAsiaTheme="majorEastAsia" w:hAnsiTheme="majorHAnsi" w:cstheme="majorBidi"/>
          <w:b/>
          <w:bCs/>
          <w:color w:val="1F4E79"/>
          <w:sz w:val="30"/>
          <w:szCs w:val="28"/>
        </w:rPr>
        <w:t>9. Selection Criteria and Evaluation Methods</w:t>
      </w:r>
    </w:p>
    <w:p w14:paraId="455EDE82" w14:textId="77777777" w:rsidR="00E15D38" w:rsidRPr="00E15D38" w:rsidRDefault="00E15D38" w:rsidP="00B67764">
      <w:pPr>
        <w:jc w:val="both"/>
        <w:rPr>
          <w:b/>
          <w:bCs/>
        </w:rPr>
      </w:pPr>
      <w:r w:rsidRPr="00E15D38">
        <w:rPr>
          <w:b/>
          <w:bCs/>
        </w:rPr>
        <w:t>Evaluation Factors</w:t>
      </w:r>
    </w:p>
    <w:p w14:paraId="02A4534D" w14:textId="77777777" w:rsidR="009C652E" w:rsidRPr="009C652E" w:rsidRDefault="009C652E" w:rsidP="00B67764">
      <w:pPr>
        <w:jc w:val="both"/>
        <w:rPr>
          <w:b/>
          <w:bCs/>
        </w:rPr>
      </w:pPr>
      <w:r w:rsidRPr="009C652E">
        <w:rPr>
          <w:b/>
          <w:bCs/>
        </w:rPr>
        <w:t>1. Technical Approach and Capability (40%)</w:t>
      </w:r>
    </w:p>
    <w:p w14:paraId="751C6CD6" w14:textId="77777777" w:rsidR="009C652E" w:rsidRPr="005B7F10" w:rsidRDefault="009C652E" w:rsidP="00B67764">
      <w:pPr>
        <w:jc w:val="both"/>
      </w:pPr>
      <w:r w:rsidRPr="005B7F10">
        <w:t>a. The offeror’s approach to capabilities assessments, defense requirements analysis, market research, capability gap analysis, and evaluation of U.S. and allied defense solutions. Consideration will be given to the methodology, feasibility, stakeholder engagement, analytical rigor, and quality assurance.</w:t>
      </w:r>
    </w:p>
    <w:p w14:paraId="5E8852F7" w14:textId="77777777" w:rsidR="009C652E" w:rsidRPr="009C652E" w:rsidRDefault="009C652E" w:rsidP="00B67764">
      <w:pPr>
        <w:jc w:val="both"/>
        <w:rPr>
          <w:b/>
          <w:bCs/>
        </w:rPr>
      </w:pPr>
      <w:r w:rsidRPr="009C652E">
        <w:rPr>
          <w:b/>
          <w:bCs/>
        </w:rPr>
        <w:t>2. Qualifications, Relevant Experience, and Key Personnel (45%)</w:t>
      </w:r>
    </w:p>
    <w:p w14:paraId="2EE3BD00" w14:textId="77777777" w:rsidR="009C652E" w:rsidRPr="0036222D" w:rsidRDefault="009C652E" w:rsidP="00B67764">
      <w:pPr>
        <w:jc w:val="both"/>
      </w:pPr>
      <w:r w:rsidRPr="0036222D">
        <w:t>a. The offeror’s and proposed key personnel’s relevant experience in defense analysis, military capability assessments, defense modernization, security cooperation, and related technical assessments. Consideration will be given to experience in the capability areas and regions identified in the RFP, as well as the qualifications and subject matter expertise of the proposed team.</w:t>
      </w:r>
    </w:p>
    <w:p w14:paraId="71D678B9" w14:textId="77777777" w:rsidR="009C652E" w:rsidRPr="009C652E" w:rsidRDefault="009C652E" w:rsidP="00B67764">
      <w:pPr>
        <w:jc w:val="both"/>
        <w:rPr>
          <w:b/>
          <w:bCs/>
        </w:rPr>
      </w:pPr>
      <w:r w:rsidRPr="009C652E">
        <w:rPr>
          <w:b/>
          <w:bCs/>
        </w:rPr>
        <w:t>3. Price/Cost (15%)</w:t>
      </w:r>
    </w:p>
    <w:p w14:paraId="4BE2353C" w14:textId="77777777" w:rsidR="009C652E" w:rsidRPr="00CF2C51" w:rsidRDefault="009C652E" w:rsidP="00B67764">
      <w:pPr>
        <w:jc w:val="both"/>
      </w:pPr>
      <w:r w:rsidRPr="00CF2C51">
        <w:t>a. Price will be evaluated for reasonableness and alignment with the proposed scope, level of effort, technical approach, and deliverables.</w:t>
      </w:r>
    </w:p>
    <w:p w14:paraId="540E572A" w14:textId="77777777" w:rsidR="00E15D38" w:rsidRPr="00E15D38" w:rsidRDefault="00E15D38" w:rsidP="00B67764">
      <w:pPr>
        <w:jc w:val="both"/>
        <w:rPr>
          <w:b/>
          <w:bCs/>
        </w:rPr>
      </w:pPr>
      <w:r w:rsidRPr="00E15D38">
        <w:rPr>
          <w:b/>
          <w:bCs/>
        </w:rPr>
        <w:t>Evaluation Method</w:t>
      </w:r>
    </w:p>
    <w:p w14:paraId="06883002" w14:textId="70C526B1" w:rsidR="006073F8" w:rsidRPr="00E15D38" w:rsidRDefault="00762E03" w:rsidP="00B67764">
      <w:pPr>
        <w:jc w:val="both"/>
      </w:pPr>
      <w:r w:rsidRPr="54356DE5">
        <w:rPr>
          <w:b/>
          <w:bCs/>
        </w:rPr>
        <w:t>Best Value Trade-Off:</w:t>
      </w:r>
      <w:r>
        <w:t xml:space="preserve"> Proposals will be evaluated </w:t>
      </w:r>
      <w:r w:rsidR="2EBD42B8">
        <w:t>using</w:t>
      </w:r>
      <w:r>
        <w:t xml:space="preserve"> the </w:t>
      </w:r>
      <w:r w:rsidR="2EBD42B8">
        <w:t xml:space="preserve">percentage weights listed above: </w:t>
      </w:r>
      <w:r>
        <w:t xml:space="preserve">Technical </w:t>
      </w:r>
      <w:r w:rsidR="2EBD42B8">
        <w:t>Approach and Capability (40%), Qualifications, Relevant Experience, and Key Personnel (45%), and Price/Cost (15%). Technical Approach and Qualifications/Experience, together, are</w:t>
      </w:r>
      <w:r>
        <w:t xml:space="preserve"> more </w:t>
      </w:r>
      <w:r w:rsidR="2EBD42B8">
        <w:t>important</w:t>
      </w:r>
      <w:r>
        <w:t xml:space="preserve"> than </w:t>
      </w:r>
      <w:r w:rsidR="2EBD42B8">
        <w:t>Price/Cost. Price/Cost will be evaluated for reasonableness and alignment with the proposed technical approach, level of effort, and deliverables. CRDF Global is not required to select the lowest-priced proposal and</w:t>
      </w:r>
      <w:r>
        <w:t xml:space="preserve"> may select a higher-priced proposal if it provides </w:t>
      </w:r>
      <w:r w:rsidR="2EBD42B8">
        <w:t>stronger</w:t>
      </w:r>
      <w:r>
        <w:t xml:space="preserve"> technical </w:t>
      </w:r>
      <w:r w:rsidR="2EBD42B8">
        <w:t>value, stronger qualifications,</w:t>
      </w:r>
      <w:r>
        <w:t xml:space="preserve"> or </w:t>
      </w:r>
      <w:r w:rsidR="2EBD42B8">
        <w:t xml:space="preserve">a better </w:t>
      </w:r>
      <w:r>
        <w:t xml:space="preserve">overall </w:t>
      </w:r>
      <w:r w:rsidR="2EBD42B8">
        <w:t>benefit to CRDF Global. CRDF Global</w:t>
      </w:r>
      <w:r>
        <w:t xml:space="preserve"> reserves the right to </w:t>
      </w:r>
      <w:proofErr w:type="gramStart"/>
      <w:r w:rsidR="2EBD42B8">
        <w:t>award</w:t>
      </w:r>
      <w:proofErr w:type="gramEnd"/>
      <w:r>
        <w:t xml:space="preserve"> all, some, or none of the proposed activities.</w:t>
      </w:r>
    </w:p>
    <w:p w14:paraId="46FA9103" w14:textId="77777777" w:rsidR="00E15D38" w:rsidRPr="00E15D38" w:rsidRDefault="00E15D38" w:rsidP="00B67764">
      <w:pPr>
        <w:jc w:val="both"/>
        <w:rPr>
          <w:b/>
          <w:bCs/>
        </w:rPr>
      </w:pPr>
      <w:r w:rsidRPr="00E15D38">
        <w:rPr>
          <w:b/>
          <w:bCs/>
        </w:rPr>
        <w:t>Scoring Methodology</w:t>
      </w:r>
    </w:p>
    <w:p w14:paraId="159A01B9" w14:textId="77777777" w:rsidR="00E15D38" w:rsidRPr="00E15D38" w:rsidRDefault="00E15D38" w:rsidP="00B67764">
      <w:pPr>
        <w:numPr>
          <w:ilvl w:val="0"/>
          <w:numId w:val="16"/>
        </w:numPr>
        <w:jc w:val="both"/>
      </w:pPr>
      <w:r w:rsidRPr="00E15D38">
        <w:rPr>
          <w:b/>
          <w:bCs/>
        </w:rPr>
        <w:t>Excellent (5):</w:t>
      </w:r>
      <w:r w:rsidRPr="00E15D38">
        <w:t xml:space="preserve"> Exceeds requirements and demonstrates exceptional capability, experience, and added value.</w:t>
      </w:r>
    </w:p>
    <w:p w14:paraId="5040E3AF" w14:textId="77777777" w:rsidR="00E15D38" w:rsidRPr="00E15D38" w:rsidRDefault="00E15D38" w:rsidP="00B67764">
      <w:pPr>
        <w:numPr>
          <w:ilvl w:val="0"/>
          <w:numId w:val="16"/>
        </w:numPr>
        <w:jc w:val="both"/>
      </w:pPr>
      <w:r w:rsidRPr="00E15D38">
        <w:rPr>
          <w:b/>
          <w:bCs/>
        </w:rPr>
        <w:t>Good (4):</w:t>
      </w:r>
      <w:r w:rsidRPr="00E15D38">
        <w:t xml:space="preserve"> Meets requirements and demonstrates strong capability, experience, and qualifications.</w:t>
      </w:r>
    </w:p>
    <w:p w14:paraId="646B835E" w14:textId="77777777" w:rsidR="00E15D38" w:rsidRPr="00E15D38" w:rsidRDefault="00E15D38" w:rsidP="00B67764">
      <w:pPr>
        <w:numPr>
          <w:ilvl w:val="0"/>
          <w:numId w:val="16"/>
        </w:numPr>
        <w:jc w:val="both"/>
      </w:pPr>
      <w:r w:rsidRPr="00E15D38">
        <w:rPr>
          <w:b/>
          <w:bCs/>
        </w:rPr>
        <w:t>Acceptable (3):</w:t>
      </w:r>
      <w:r w:rsidRPr="00E15D38">
        <w:t xml:space="preserve"> Meets minimum requirements and demonstrates adequate capability to perform the work.</w:t>
      </w:r>
    </w:p>
    <w:p w14:paraId="0B9BA257" w14:textId="77777777" w:rsidR="00E15D38" w:rsidRPr="00E15D38" w:rsidRDefault="00E15D38" w:rsidP="00B67764">
      <w:pPr>
        <w:numPr>
          <w:ilvl w:val="0"/>
          <w:numId w:val="16"/>
        </w:numPr>
        <w:jc w:val="both"/>
      </w:pPr>
      <w:r w:rsidRPr="00E15D38">
        <w:rPr>
          <w:b/>
          <w:bCs/>
        </w:rPr>
        <w:t>Marginal (2):</w:t>
      </w:r>
      <w:r w:rsidRPr="00E15D38">
        <w:t xml:space="preserve"> Demonstrates weaknesses, limited experience, or gaps in the proposed approach or qualifications.</w:t>
      </w:r>
    </w:p>
    <w:p w14:paraId="6CAF9A60" w14:textId="77777777" w:rsidR="00E15D38" w:rsidRPr="00E15D38" w:rsidRDefault="00E15D38" w:rsidP="00B67764">
      <w:pPr>
        <w:numPr>
          <w:ilvl w:val="0"/>
          <w:numId w:val="16"/>
        </w:numPr>
        <w:jc w:val="both"/>
      </w:pPr>
      <w:r w:rsidRPr="00E15D38">
        <w:rPr>
          <w:b/>
          <w:bCs/>
        </w:rPr>
        <w:t>Unacceptable (1):</w:t>
      </w:r>
      <w:r w:rsidRPr="00E15D38">
        <w:t xml:space="preserve"> Fails to meet significant requirements or demonstrate sufficient capability to perform the work.</w:t>
      </w:r>
    </w:p>
    <w:p w14:paraId="0111FBF3" w14:textId="77777777" w:rsidR="009A604C" w:rsidRPr="00F52F32" w:rsidRDefault="009A604C" w:rsidP="00B67764">
      <w:pPr>
        <w:jc w:val="both"/>
        <w:rPr>
          <w:rFonts w:ascii="Aptos Narrow" w:eastAsiaTheme="majorEastAsia" w:hAnsi="Aptos Narrow" w:cstheme="majorBidi"/>
          <w:b/>
          <w:bCs/>
          <w:color w:val="1F4E79"/>
          <w:szCs w:val="19"/>
        </w:rPr>
      </w:pPr>
    </w:p>
    <w:p w14:paraId="3F1A34D1" w14:textId="0E30A3D9" w:rsidR="00E15D38" w:rsidRPr="00E15D38" w:rsidRDefault="00E15D38" w:rsidP="00B67764">
      <w:pPr>
        <w:jc w:val="both"/>
        <w:rPr>
          <w:rFonts w:asciiTheme="majorHAnsi" w:eastAsiaTheme="majorEastAsia" w:hAnsiTheme="majorHAnsi" w:cstheme="majorBidi"/>
          <w:b/>
          <w:bCs/>
          <w:color w:val="1F4E79"/>
          <w:sz w:val="30"/>
          <w:szCs w:val="28"/>
        </w:rPr>
      </w:pPr>
      <w:r>
        <w:rPr>
          <w:rFonts w:asciiTheme="majorHAnsi" w:eastAsiaTheme="majorEastAsia" w:hAnsiTheme="majorHAnsi" w:cstheme="majorBidi"/>
          <w:b/>
          <w:bCs/>
          <w:color w:val="1F4E79"/>
          <w:sz w:val="30"/>
          <w:szCs w:val="28"/>
        </w:rPr>
        <w:t xml:space="preserve">10. </w:t>
      </w:r>
      <w:r w:rsidRPr="00E15D38">
        <w:rPr>
          <w:rFonts w:asciiTheme="majorHAnsi" w:eastAsiaTheme="majorEastAsia" w:hAnsiTheme="majorHAnsi" w:cstheme="majorBidi"/>
          <w:b/>
          <w:bCs/>
          <w:color w:val="1F4E79"/>
          <w:sz w:val="30"/>
          <w:szCs w:val="28"/>
        </w:rPr>
        <w:t>Submission</w:t>
      </w:r>
    </w:p>
    <w:p w14:paraId="73B3E42A" w14:textId="77777777" w:rsidR="00574200" w:rsidRDefault="00762E03" w:rsidP="00B67764">
      <w:pPr>
        <w:jc w:val="both"/>
      </w:pPr>
      <w:r>
        <w:t>Proposals should be submitted electronically to</w:t>
      </w:r>
      <w:r w:rsidR="00574200">
        <w:t xml:space="preserve"> </w:t>
      </w:r>
      <w:hyperlink r:id="rId11" w:history="1">
        <w:r w:rsidR="00574200" w:rsidRPr="00574200">
          <w:rPr>
            <w:rStyle w:val="Hyperlink"/>
          </w:rPr>
          <w:t>ynikolova@crdfglobal.org</w:t>
        </w:r>
      </w:hyperlink>
      <w:r w:rsidR="00574200">
        <w:t>; CC:</w:t>
      </w:r>
      <w:r>
        <w:t xml:space="preserve"> </w:t>
      </w:r>
      <w:r w:rsidRPr="00574200">
        <w:rPr>
          <w:rStyle w:val="Hyperlink"/>
        </w:rPr>
        <w:t>procurement@crdfglobal.org</w:t>
      </w:r>
      <w:r>
        <w:t xml:space="preserve"> and </w:t>
      </w:r>
      <w:r w:rsidRPr="00574200">
        <w:rPr>
          <w:rStyle w:val="Hyperlink"/>
        </w:rPr>
        <w:t>hshafaq@crdfglobal.org</w:t>
      </w:r>
      <w:r>
        <w:t xml:space="preserve"> in PDF, Word, or Excel format. </w:t>
      </w:r>
    </w:p>
    <w:p w14:paraId="0921F196" w14:textId="770508C7" w:rsidR="006073F8" w:rsidRDefault="00762E03" w:rsidP="00B67764">
      <w:pPr>
        <w:jc w:val="both"/>
      </w:pPr>
      <w:r>
        <w:t>Proposals must include “</w:t>
      </w:r>
      <w:r w:rsidR="004F0E07" w:rsidRPr="004F0E07">
        <w:t xml:space="preserve">RFP-SP-20-2026_Assessing Defense Needs and </w:t>
      </w:r>
      <w:proofErr w:type="spellStart"/>
      <w:r w:rsidR="004F0E07" w:rsidRPr="004F0E07">
        <w:t>Solutions_Offeror’s</w:t>
      </w:r>
      <w:proofErr w:type="spellEnd"/>
      <w:r w:rsidR="004F0E07" w:rsidRPr="004F0E07">
        <w:t xml:space="preserve"> Name</w:t>
      </w:r>
      <w:r>
        <w:t>” in the subject line of the email.</w:t>
      </w:r>
    </w:p>
    <w:p w14:paraId="168916E8" w14:textId="4C549370" w:rsidR="006073F8" w:rsidRDefault="00762E03" w:rsidP="00B67764">
      <w:pPr>
        <w:jc w:val="both"/>
      </w:pPr>
      <w:r>
        <w:t xml:space="preserve">Proposals must be received by </w:t>
      </w:r>
      <w:r w:rsidRPr="00216D90">
        <w:rPr>
          <w:b/>
          <w:bCs/>
        </w:rPr>
        <w:t>September 25, 2026</w:t>
      </w:r>
      <w:r>
        <w:t xml:space="preserve">, </w:t>
      </w:r>
      <w:r w:rsidR="3710412A">
        <w:t xml:space="preserve">no later than </w:t>
      </w:r>
      <w:r w:rsidR="08171DFD">
        <w:t>5PM EST specified</w:t>
      </w:r>
      <w:r>
        <w:t xml:space="preserve"> in the solicitation notice or any written amendment issued by CRDF Global. Late submissions may not be considered unless CRDF Global determines otherwise in writing.</w:t>
      </w:r>
    </w:p>
    <w:p w14:paraId="3FF1ED88" w14:textId="4547254B" w:rsidR="00E15D38" w:rsidRDefault="00E15D38" w:rsidP="00B67764">
      <w:pPr>
        <w:jc w:val="both"/>
        <w:rPr>
          <w:rFonts w:asciiTheme="majorHAnsi" w:eastAsiaTheme="majorEastAsia" w:hAnsiTheme="majorHAnsi" w:cstheme="majorBidi"/>
          <w:b/>
          <w:bCs/>
          <w:color w:val="1F4E79"/>
          <w:sz w:val="30"/>
          <w:szCs w:val="28"/>
        </w:rPr>
      </w:pPr>
      <w:r>
        <w:rPr>
          <w:rFonts w:asciiTheme="majorHAnsi" w:eastAsiaTheme="majorEastAsia" w:hAnsiTheme="majorHAnsi" w:cstheme="majorBidi"/>
          <w:b/>
          <w:bCs/>
          <w:color w:val="1F4E79"/>
          <w:sz w:val="30"/>
          <w:szCs w:val="28"/>
        </w:rPr>
        <w:lastRenderedPageBreak/>
        <w:t xml:space="preserve">11. </w:t>
      </w:r>
      <w:r w:rsidR="00786CD8" w:rsidRPr="00786CD8">
        <w:rPr>
          <w:rFonts w:asciiTheme="majorHAnsi" w:eastAsiaTheme="majorEastAsia" w:hAnsiTheme="majorHAnsi" w:cstheme="majorBidi"/>
          <w:b/>
          <w:bCs/>
          <w:color w:val="1F4E79"/>
          <w:sz w:val="30"/>
          <w:szCs w:val="28"/>
        </w:rPr>
        <w:t>CRDF Global Background and Solicitation Terms &amp; Conditions</w:t>
      </w:r>
      <w:r w:rsidR="00786CD8">
        <w:rPr>
          <w:rFonts w:asciiTheme="majorHAnsi" w:eastAsiaTheme="majorEastAsia" w:hAnsiTheme="majorHAnsi" w:cstheme="majorBidi"/>
          <w:b/>
          <w:bCs/>
          <w:color w:val="1F4E79"/>
          <w:sz w:val="30"/>
          <w:szCs w:val="28"/>
        </w:rPr>
        <w:t>:</w:t>
      </w:r>
    </w:p>
    <w:p w14:paraId="5F89D793" w14:textId="652E17FF" w:rsidR="006073F8" w:rsidRDefault="00762E03" w:rsidP="00B67764">
      <w:pPr>
        <w:jc w:val="both"/>
      </w:pPr>
      <w:r>
        <w:t>CRDF Global is an independent nonprofit organization founded in 1995 in response to the collapse of the Soviet Union and the threat of large-scale proliferation of weapons technology from the region. With support authorized by the Nunn</w:t>
      </w:r>
      <w:r w:rsidR="5D7F2050">
        <w:t>-</w:t>
      </w:r>
      <w:r>
        <w:t xml:space="preserve">Lugar Act of 1991 and the Freedom Support Act of 1992, as well </w:t>
      </w:r>
      <w:r w:rsidR="5D7F2050">
        <w:t xml:space="preserve">as </w:t>
      </w:r>
      <w:r>
        <w:t>private foundation contributions, CRDF Global embarked on bolstering the global scientific community and fostering alternatives to weapons research.</w:t>
      </w:r>
    </w:p>
    <w:p w14:paraId="415F5941" w14:textId="77777777" w:rsidR="008B3B7F" w:rsidRDefault="008B3B7F" w:rsidP="00B67764">
      <w:pPr>
        <w:jc w:val="both"/>
      </w:pPr>
      <w:r w:rsidRPr="008B3B7F">
        <w:t xml:space="preserve">In the past 30 years, our work has expanded to address ever-changing global concerns, but our commitment to ensuring the success of our partners remains the same. We are a leading provider of flexible logistical support, program design and management, and strategic capacity building programs in the areas of higher education, CBRNE security and nonproliferation, border security, cybersecurity, global health, technology entrepreneurship, and international professional exchanges. </w:t>
      </w:r>
    </w:p>
    <w:p w14:paraId="7A3E4DC0" w14:textId="052A432A" w:rsidR="008B3B7F" w:rsidRDefault="008B3B7F" w:rsidP="00B67764">
      <w:pPr>
        <w:jc w:val="both"/>
      </w:pPr>
      <w:r w:rsidRPr="008B3B7F">
        <w:t xml:space="preserve">With offices in Arlington, VA; Kyiv, Ukraine; and Amman, Jordan, CRDF </w:t>
      </w:r>
      <w:proofErr w:type="spellStart"/>
      <w:r w:rsidRPr="008B3B7F">
        <w:t>Global’s</w:t>
      </w:r>
      <w:proofErr w:type="spellEnd"/>
      <w:r w:rsidRPr="008B3B7F">
        <w:t xml:space="preserve"> diverse staff and networks of local community and government stakeholders deliver tailored programs that meet specific regional needs in over 100 countries across the globe.</w:t>
      </w:r>
    </w:p>
    <w:p w14:paraId="6E2C1A58" w14:textId="77777777" w:rsidR="008B3B7F" w:rsidRDefault="008B3B7F" w:rsidP="00B67764">
      <w:pPr>
        <w:jc w:val="both"/>
      </w:pPr>
    </w:p>
    <w:p w14:paraId="6E7C81DA" w14:textId="77777777" w:rsidR="008B3B7F" w:rsidRPr="008B3B7F" w:rsidRDefault="008B3B7F" w:rsidP="00B67764">
      <w:pPr>
        <w:jc w:val="both"/>
        <w:rPr>
          <w:b/>
          <w:bCs/>
        </w:rPr>
      </w:pPr>
      <w:r w:rsidRPr="008B3B7F">
        <w:rPr>
          <w:b/>
          <w:bCs/>
        </w:rPr>
        <w:t xml:space="preserve">Vision Statement: </w:t>
      </w:r>
    </w:p>
    <w:p w14:paraId="398E6D6D" w14:textId="77777777" w:rsidR="008B3B7F" w:rsidRDefault="008B3B7F" w:rsidP="00B67764">
      <w:pPr>
        <w:jc w:val="both"/>
      </w:pPr>
      <w:r>
        <w:t xml:space="preserve">Our world, healthy, safe, and sustainable. </w:t>
      </w:r>
    </w:p>
    <w:p w14:paraId="05B65643" w14:textId="77777777" w:rsidR="008B3B7F" w:rsidRDefault="008B3B7F" w:rsidP="00B67764">
      <w:pPr>
        <w:jc w:val="both"/>
      </w:pPr>
    </w:p>
    <w:p w14:paraId="2808B15C" w14:textId="77777777" w:rsidR="008B3B7F" w:rsidRPr="008B3B7F" w:rsidRDefault="008B3B7F" w:rsidP="00B67764">
      <w:pPr>
        <w:jc w:val="both"/>
        <w:rPr>
          <w:b/>
          <w:bCs/>
        </w:rPr>
      </w:pPr>
      <w:r w:rsidRPr="008B3B7F">
        <w:rPr>
          <w:b/>
          <w:bCs/>
        </w:rPr>
        <w:t xml:space="preserve">Mission Statement: </w:t>
      </w:r>
    </w:p>
    <w:p w14:paraId="7088EA30" w14:textId="77777777" w:rsidR="008B3B7F" w:rsidRDefault="008B3B7F" w:rsidP="00B67764">
      <w:pPr>
        <w:jc w:val="both"/>
      </w:pPr>
      <w:r>
        <w:t xml:space="preserve">Safety, security, and sustainability through science, innovation, and collaboration.  </w:t>
      </w:r>
    </w:p>
    <w:p w14:paraId="1907115D" w14:textId="77777777" w:rsidR="008B3B7F" w:rsidRDefault="008B3B7F" w:rsidP="00B67764">
      <w:pPr>
        <w:jc w:val="both"/>
      </w:pPr>
    </w:p>
    <w:p w14:paraId="4F8D367D" w14:textId="77777777" w:rsidR="008B3B7F" w:rsidRPr="008B3B7F" w:rsidRDefault="008B3B7F" w:rsidP="00B67764">
      <w:pPr>
        <w:jc w:val="both"/>
        <w:rPr>
          <w:b/>
          <w:bCs/>
        </w:rPr>
      </w:pPr>
      <w:r w:rsidRPr="008B3B7F">
        <w:rPr>
          <w:b/>
          <w:bCs/>
        </w:rPr>
        <w:t xml:space="preserve">Values: </w:t>
      </w:r>
    </w:p>
    <w:p w14:paraId="77702768" w14:textId="77777777" w:rsidR="008B3B7F" w:rsidRDefault="008B3B7F" w:rsidP="00B67764">
      <w:pPr>
        <w:jc w:val="both"/>
      </w:pPr>
      <w:r>
        <w:t xml:space="preserve">We do the right thing.    </w:t>
      </w:r>
    </w:p>
    <w:p w14:paraId="24A4C45B" w14:textId="77777777" w:rsidR="008B3B7F" w:rsidRDefault="008B3B7F" w:rsidP="00B67764">
      <w:pPr>
        <w:jc w:val="both"/>
      </w:pPr>
      <w:r>
        <w:t xml:space="preserve">We care about each other and the people we work with.    </w:t>
      </w:r>
    </w:p>
    <w:p w14:paraId="600DAF66" w14:textId="77777777" w:rsidR="008B3B7F" w:rsidRDefault="008B3B7F" w:rsidP="00B67764">
      <w:pPr>
        <w:jc w:val="both"/>
      </w:pPr>
      <w:r>
        <w:t xml:space="preserve">We work together to deliver excellence. </w:t>
      </w:r>
    </w:p>
    <w:p w14:paraId="773FF2CA" w14:textId="77777777" w:rsidR="008B3B7F" w:rsidRDefault="008B3B7F" w:rsidP="00B67764">
      <w:pPr>
        <w:jc w:val="both"/>
      </w:pPr>
    </w:p>
    <w:p w14:paraId="080EBBD1" w14:textId="77777777" w:rsidR="008B3B7F" w:rsidRDefault="008B3B7F" w:rsidP="00B67764">
      <w:pPr>
        <w:jc w:val="both"/>
      </w:pPr>
      <w:r>
        <w:t xml:space="preserve">CRDF Global provides equal opportunities to all qualified individuals without regard to age, race, color, religion, sex, </w:t>
      </w:r>
    </w:p>
    <w:p w14:paraId="3847F9A6" w14:textId="77777777" w:rsidR="008B3B7F" w:rsidRDefault="008B3B7F" w:rsidP="00B67764">
      <w:pPr>
        <w:jc w:val="both"/>
      </w:pPr>
      <w:r>
        <w:t xml:space="preserve">sexual orientation, gender identity, national origin, protected veteran, or disabled status. We acknowledge and honor </w:t>
      </w:r>
    </w:p>
    <w:p w14:paraId="3C411C0A" w14:textId="77777777" w:rsidR="008B3B7F" w:rsidRDefault="008B3B7F" w:rsidP="00B67764">
      <w:pPr>
        <w:jc w:val="both"/>
      </w:pPr>
      <w:r>
        <w:t xml:space="preserve">the fundamental value and dignity of all individuals. We </w:t>
      </w:r>
      <w:proofErr w:type="gramStart"/>
      <w:r>
        <w:t>pledge ourselves</w:t>
      </w:r>
      <w:proofErr w:type="gramEnd"/>
      <w:r>
        <w:t xml:space="preserve"> to </w:t>
      </w:r>
      <w:proofErr w:type="gramStart"/>
      <w:r>
        <w:t>creating</w:t>
      </w:r>
      <w:proofErr w:type="gramEnd"/>
      <w:r>
        <w:t xml:space="preserve"> and </w:t>
      </w:r>
      <w:proofErr w:type="gramStart"/>
      <w:r>
        <w:t>maintaining</w:t>
      </w:r>
      <w:proofErr w:type="gramEnd"/>
      <w:r>
        <w:t xml:space="preserve"> an environment </w:t>
      </w:r>
    </w:p>
    <w:p w14:paraId="28DD7118" w14:textId="77777777" w:rsidR="008B3B7F" w:rsidRDefault="008B3B7F" w:rsidP="00B67764">
      <w:pPr>
        <w:jc w:val="both"/>
      </w:pPr>
      <w:r>
        <w:t xml:space="preserve">that respects diverse traditions, heritages, and experiences. </w:t>
      </w:r>
    </w:p>
    <w:p w14:paraId="4B34BC73" w14:textId="77777777" w:rsidR="008B3B7F" w:rsidRDefault="008B3B7F" w:rsidP="00B67764">
      <w:pPr>
        <w:jc w:val="both"/>
      </w:pPr>
    </w:p>
    <w:p w14:paraId="524867CE" w14:textId="6F8B5278" w:rsidR="008B3B7F" w:rsidRDefault="008B3B7F" w:rsidP="00B67764">
      <w:pPr>
        <w:jc w:val="both"/>
      </w:pPr>
      <w:r>
        <w:t xml:space="preserve">More information is available at </w:t>
      </w:r>
      <w:hyperlink r:id="rId12" w:history="1">
        <w:r w:rsidRPr="00DB0198">
          <w:rPr>
            <w:rStyle w:val="Hyperlink"/>
          </w:rPr>
          <w:t>www.crdfglobal.org</w:t>
        </w:r>
      </w:hyperlink>
      <w:r>
        <w:t xml:space="preserve">. </w:t>
      </w:r>
    </w:p>
    <w:p w14:paraId="29DCCDA9" w14:textId="77777777" w:rsidR="008B3B7F" w:rsidRDefault="008B3B7F" w:rsidP="00B67764">
      <w:pPr>
        <w:jc w:val="both"/>
      </w:pPr>
    </w:p>
    <w:p w14:paraId="3EC32B9E" w14:textId="77777777" w:rsidR="008B3B7F" w:rsidRPr="008B3B7F" w:rsidRDefault="008B3B7F" w:rsidP="00B67764">
      <w:pPr>
        <w:jc w:val="both"/>
        <w:rPr>
          <w:b/>
          <w:bCs/>
        </w:rPr>
      </w:pPr>
      <w:r w:rsidRPr="008B3B7F">
        <w:rPr>
          <w:b/>
          <w:bCs/>
        </w:rPr>
        <w:t xml:space="preserve">Solicitation Terms &amp; Conditions: </w:t>
      </w:r>
    </w:p>
    <w:p w14:paraId="606D27CF" w14:textId="25B9392C" w:rsidR="008B3B7F" w:rsidRDefault="008B3B7F" w:rsidP="00B67764">
      <w:pPr>
        <w:jc w:val="both"/>
      </w:pPr>
      <w:r>
        <w:t xml:space="preserve">Right to Select Suppliers: CRDF Global reserves the right to negotiate with and select all qualified suppliers </w:t>
      </w:r>
      <w:proofErr w:type="gramStart"/>
      <w:r>
        <w:t>at</w:t>
      </w:r>
      <w:proofErr w:type="gramEnd"/>
      <w:r>
        <w:t xml:space="preserve"> </w:t>
      </w:r>
      <w:proofErr w:type="gramStart"/>
      <w:r>
        <w:t>its</w:t>
      </w:r>
      <w:proofErr w:type="gramEnd"/>
      <w:r>
        <w:t xml:space="preserve"> own </w:t>
      </w:r>
    </w:p>
    <w:p w14:paraId="569D211D" w14:textId="77777777" w:rsidR="008B3B7F" w:rsidRDefault="008B3B7F" w:rsidP="00B67764">
      <w:pPr>
        <w:jc w:val="both"/>
      </w:pPr>
      <w:r>
        <w:t xml:space="preserve">discretion and is not </w:t>
      </w:r>
      <w:proofErr w:type="gramStart"/>
      <w:r>
        <w:t>obligated</w:t>
      </w:r>
      <w:proofErr w:type="gramEnd"/>
      <w:r>
        <w:t xml:space="preserve"> to inform suppliers of the methods used in the selection process. CRDF Global reserves </w:t>
      </w:r>
    </w:p>
    <w:p w14:paraId="650C4B78" w14:textId="77777777" w:rsidR="008B3B7F" w:rsidRDefault="008B3B7F" w:rsidP="00B67764">
      <w:pPr>
        <w:jc w:val="both"/>
      </w:pPr>
      <w:r>
        <w:t xml:space="preserve">the right to dismiss any and/or all suppliers from the bid process and reject any and/or all proposals.  </w:t>
      </w:r>
    </w:p>
    <w:p w14:paraId="6032F221" w14:textId="77777777" w:rsidR="008B3B7F" w:rsidRDefault="008B3B7F" w:rsidP="00B67764">
      <w:pPr>
        <w:jc w:val="both"/>
      </w:pPr>
    </w:p>
    <w:p w14:paraId="23B8370D" w14:textId="0191430D" w:rsidR="008B3B7F" w:rsidRDefault="008B3B7F" w:rsidP="00B67764">
      <w:pPr>
        <w:jc w:val="both"/>
      </w:pPr>
      <w:r>
        <w:t xml:space="preserve">Obligation: This RFP does not bind nor obligate CRDF Global in any way. CRDF Global makes no representation, either </w:t>
      </w:r>
    </w:p>
    <w:p w14:paraId="6D24BC3F" w14:textId="77777777" w:rsidR="008B3B7F" w:rsidRDefault="008B3B7F" w:rsidP="00B67764">
      <w:pPr>
        <w:jc w:val="both"/>
      </w:pPr>
      <w:r>
        <w:t xml:space="preserve">expressed or implied, that it will accept or approve in whole or in part any proposal submitted in response to this RFP. </w:t>
      </w:r>
    </w:p>
    <w:p w14:paraId="3B534818" w14:textId="25184223" w:rsidR="006073F8" w:rsidRDefault="00762E03" w:rsidP="00B67764">
      <w:pPr>
        <w:jc w:val="both"/>
      </w:pPr>
      <w:r>
        <w:t xml:space="preserve">CRDF Global may </w:t>
      </w:r>
      <w:r w:rsidR="0BA9FCBC">
        <w:t>award</w:t>
      </w:r>
      <w:r>
        <w:t>, in whole or in part, the proposal at its sole discretion.</w:t>
      </w:r>
    </w:p>
    <w:p w14:paraId="47DC92C6" w14:textId="77777777" w:rsidR="008B3B7F" w:rsidRDefault="008B3B7F" w:rsidP="00B67764">
      <w:pPr>
        <w:jc w:val="both"/>
      </w:pPr>
    </w:p>
    <w:p w14:paraId="71667470" w14:textId="6A0AA7BA" w:rsidR="006073F8" w:rsidRDefault="00762E03" w:rsidP="00B67764">
      <w:pPr>
        <w:jc w:val="both"/>
      </w:pPr>
      <w:r>
        <w:lastRenderedPageBreak/>
        <w:t xml:space="preserve">Notification: CRDF Global will notify </w:t>
      </w:r>
      <w:r w:rsidR="5F9586B6">
        <w:t>offerors</w:t>
      </w:r>
      <w:r>
        <w:t xml:space="preserve"> following completion of the evaluation process as to </w:t>
      </w:r>
      <w:proofErr w:type="gramStart"/>
      <w:r>
        <w:t>whether or not</w:t>
      </w:r>
      <w:proofErr w:type="gramEnd"/>
      <w:r>
        <w:t xml:space="preserve"> </w:t>
      </w:r>
      <w:r w:rsidR="5F9586B6">
        <w:t xml:space="preserve">offerors have been awarded the contract. The only information regarding the status of the evaluation of proposals that will be provided to any inquiring offeror shall be </w:t>
      </w:r>
      <w:proofErr w:type="gramStart"/>
      <w:r w:rsidR="5F9586B6">
        <w:t>whether or not</w:t>
      </w:r>
      <w:proofErr w:type="gramEnd"/>
      <w:r w:rsidR="5F9586B6">
        <w:t xml:space="preserve"> the inquiring offeror has been awarded the contract. CRDF Global may, at its sole discretion, inform any inquiring offeror of the </w:t>
      </w:r>
      <w:proofErr w:type="gramStart"/>
      <w:r w:rsidR="5F9586B6">
        <w:t>reason</w:t>
      </w:r>
      <w:proofErr w:type="gramEnd"/>
      <w:r w:rsidR="5F9586B6">
        <w:t>(s) why it was not awarded the contract.</w:t>
      </w:r>
    </w:p>
    <w:p w14:paraId="5666AB3F" w14:textId="77777777" w:rsidR="008B3B7F" w:rsidRDefault="008B3B7F" w:rsidP="00B67764">
      <w:pPr>
        <w:jc w:val="both"/>
      </w:pPr>
    </w:p>
    <w:p w14:paraId="11C5E53A" w14:textId="2B77F157" w:rsidR="008B3B7F" w:rsidRDefault="008B3B7F" w:rsidP="00B67764">
      <w:pPr>
        <w:jc w:val="both"/>
      </w:pPr>
      <w:r>
        <w:t xml:space="preserve">Binding Period: Following the due date of submission of this Proposal, the pricing included in this RFP shall be binding </w:t>
      </w:r>
    </w:p>
    <w:p w14:paraId="5B7DBFFF" w14:textId="4CF7A6AB" w:rsidR="006073F8" w:rsidRDefault="00762E03" w:rsidP="00B67764">
      <w:pPr>
        <w:jc w:val="both"/>
      </w:pPr>
      <w:r>
        <w:t xml:space="preserve">upon the </w:t>
      </w:r>
      <w:r w:rsidR="4C2CB11A">
        <w:t>offeror</w:t>
      </w:r>
      <w:r>
        <w:t xml:space="preserve"> for the duration of the contract.</w:t>
      </w:r>
    </w:p>
    <w:p w14:paraId="7AC95071" w14:textId="77777777" w:rsidR="008B3B7F" w:rsidRDefault="008B3B7F" w:rsidP="00B67764">
      <w:pPr>
        <w:jc w:val="both"/>
      </w:pPr>
    </w:p>
    <w:p w14:paraId="0B334AE0" w14:textId="5E698F7F" w:rsidR="008B3B7F" w:rsidRDefault="008B3B7F" w:rsidP="00B67764">
      <w:pPr>
        <w:jc w:val="both"/>
      </w:pPr>
      <w:r>
        <w:t xml:space="preserve">Hold Harmless: By submitting a response to the RFP, bidder agrees that CRDF Global has sole discretion to select any </w:t>
      </w:r>
    </w:p>
    <w:p w14:paraId="440D7FCA" w14:textId="6D331983" w:rsidR="006073F8" w:rsidRDefault="00762E03" w:rsidP="00B67764">
      <w:pPr>
        <w:jc w:val="both"/>
      </w:pPr>
      <w:r>
        <w:t xml:space="preserve">and/or all </w:t>
      </w:r>
      <w:r w:rsidR="088E4863">
        <w:t>offerors</w:t>
      </w:r>
      <w:r>
        <w:t xml:space="preserve">. During or following the conclusion of this process, </w:t>
      </w:r>
      <w:r w:rsidR="088E4863">
        <w:t>offerors</w:t>
      </w:r>
      <w:r>
        <w:t xml:space="preserve"> waive their rights to </w:t>
      </w:r>
      <w:proofErr w:type="gramStart"/>
      <w:r>
        <w:t>damages</w:t>
      </w:r>
      <w:proofErr w:type="gramEnd"/>
      <w:r>
        <w:t xml:space="preserve"> whatsoever</w:t>
      </w:r>
    </w:p>
    <w:p w14:paraId="166B51DE" w14:textId="1BECE86C" w:rsidR="006073F8" w:rsidRDefault="00762E03" w:rsidP="00B67764">
      <w:pPr>
        <w:jc w:val="both"/>
      </w:pPr>
      <w:r>
        <w:t xml:space="preserve">attributable to the selection process, materials provided, </w:t>
      </w:r>
      <w:r w:rsidR="39504643">
        <w:t>offeror</w:t>
      </w:r>
      <w:r>
        <w:t xml:space="preserve"> selection, or any communication associated with the</w:t>
      </w:r>
    </w:p>
    <w:p w14:paraId="6D393B0C" w14:textId="77777777" w:rsidR="008B3B7F" w:rsidRDefault="008B3B7F" w:rsidP="00B67764">
      <w:pPr>
        <w:jc w:val="both"/>
      </w:pPr>
      <w:r>
        <w:t xml:space="preserve">RFP process and supplier selection.  </w:t>
      </w:r>
    </w:p>
    <w:p w14:paraId="1EF09B4C" w14:textId="77777777" w:rsidR="006C274F" w:rsidRDefault="006C274F" w:rsidP="00B67764">
      <w:pPr>
        <w:jc w:val="both"/>
      </w:pPr>
    </w:p>
    <w:p w14:paraId="479B3318" w14:textId="6DA625F9" w:rsidR="008B3B7F" w:rsidRDefault="008B3B7F" w:rsidP="00B67764">
      <w:pPr>
        <w:jc w:val="both"/>
      </w:pPr>
      <w:r>
        <w:t>Transfer to Final Contract</w:t>
      </w:r>
      <w:r w:rsidR="006C274F">
        <w:t xml:space="preserve">: </w:t>
      </w:r>
      <w:r>
        <w:t xml:space="preserve">The terms and conditions of the RFP, including the specifications and the completed proposal, </w:t>
      </w:r>
    </w:p>
    <w:p w14:paraId="280403C0" w14:textId="77777777" w:rsidR="008B3B7F" w:rsidRDefault="008B3B7F" w:rsidP="00B67764">
      <w:pPr>
        <w:jc w:val="both"/>
      </w:pPr>
      <w:r>
        <w:t xml:space="preserve">will become at CRDF </w:t>
      </w:r>
      <w:proofErr w:type="spellStart"/>
      <w:r>
        <w:t>Global's</w:t>
      </w:r>
      <w:proofErr w:type="spellEnd"/>
      <w:r>
        <w:t xml:space="preserve"> sole discretion, part of the final contract (the "Agreement") between CRDF Global and the </w:t>
      </w:r>
    </w:p>
    <w:p w14:paraId="3B45988E" w14:textId="51F4A52B" w:rsidR="006073F8" w:rsidRDefault="00762E03" w:rsidP="00B67764">
      <w:pPr>
        <w:jc w:val="both"/>
      </w:pPr>
      <w:r>
        <w:t xml:space="preserve">selected </w:t>
      </w:r>
      <w:r w:rsidR="78A23E49">
        <w:t>offeror. If</w:t>
      </w:r>
      <w:r>
        <w:t xml:space="preserve"> responses to the terms and conditions </w:t>
      </w:r>
      <w:r w:rsidR="78A23E49">
        <w:t>would</w:t>
      </w:r>
      <w:r>
        <w:t xml:space="preserve"> materially impair </w:t>
      </w:r>
      <w:r w:rsidR="78A23E49">
        <w:t>an offeror's</w:t>
      </w:r>
      <w:r>
        <w:t xml:space="preserve"> ability to</w:t>
      </w:r>
    </w:p>
    <w:p w14:paraId="1C2FF1D7" w14:textId="49D9EACC" w:rsidR="006073F8" w:rsidRDefault="00762E03" w:rsidP="00B67764">
      <w:pPr>
        <w:jc w:val="both"/>
      </w:pPr>
      <w:r>
        <w:t xml:space="preserve">respond to the RFP, </w:t>
      </w:r>
      <w:r w:rsidR="13C17C44">
        <w:t>the offeror</w:t>
      </w:r>
      <w:r>
        <w:t xml:space="preserve"> should notify CRDF Global in writing of the impairment. If </w:t>
      </w:r>
      <w:r w:rsidR="13C17C44">
        <w:t>the offeror</w:t>
      </w:r>
      <w:r>
        <w:t xml:space="preserve"> fails to object to any</w:t>
      </w:r>
    </w:p>
    <w:p w14:paraId="322EF751" w14:textId="58CAD188" w:rsidR="006073F8" w:rsidRDefault="00762E03" w:rsidP="00B67764">
      <w:pPr>
        <w:jc w:val="both"/>
      </w:pPr>
      <w:proofErr w:type="gramStart"/>
      <w:r>
        <w:t>condition(s)</w:t>
      </w:r>
      <w:proofErr w:type="gramEnd"/>
      <w:r>
        <w:t xml:space="preserve"> incorporated herein, it shall mean that </w:t>
      </w:r>
      <w:r w:rsidR="1FD1A33F">
        <w:t>the offeror</w:t>
      </w:r>
      <w:r>
        <w:t xml:space="preserve"> agrees with, and will comply with</w:t>
      </w:r>
      <w:r w:rsidR="1FD1A33F">
        <w:t>,</w:t>
      </w:r>
      <w:r>
        <w:t xml:space="preserve"> the conditions set forth</w:t>
      </w:r>
    </w:p>
    <w:p w14:paraId="4BCDFFA0" w14:textId="77777777" w:rsidR="008B3B7F" w:rsidRDefault="008B3B7F" w:rsidP="00B67764">
      <w:pPr>
        <w:jc w:val="both"/>
      </w:pPr>
      <w:r>
        <w:t xml:space="preserve">herein.  </w:t>
      </w:r>
    </w:p>
    <w:p w14:paraId="4D036551" w14:textId="77777777" w:rsidR="006C274F" w:rsidRDefault="006C274F" w:rsidP="00B67764">
      <w:pPr>
        <w:jc w:val="both"/>
      </w:pPr>
    </w:p>
    <w:p w14:paraId="342BCF04" w14:textId="0391B0B5" w:rsidR="006073F8" w:rsidRDefault="00762E03" w:rsidP="00B67764">
      <w:pPr>
        <w:jc w:val="both"/>
      </w:pPr>
      <w:r>
        <w:t>Exceptions: Any exceptions to the terms and conditions or any additions</w:t>
      </w:r>
      <w:r w:rsidR="2ECE23F7">
        <w:t xml:space="preserve"> that an offeror wishes</w:t>
      </w:r>
      <w:r>
        <w:t xml:space="preserve"> to include in the </w:t>
      </w:r>
      <w:r w:rsidR="2ECE23F7">
        <w:t>proposal</w:t>
      </w:r>
    </w:p>
    <w:p w14:paraId="2746B828" w14:textId="5F5941DC" w:rsidR="006073F8" w:rsidRDefault="00762E03" w:rsidP="00B67764">
      <w:pPr>
        <w:jc w:val="both"/>
      </w:pPr>
      <w:r>
        <w:t xml:space="preserve">should be made in writing and included in the form of an addendum to the applicable </w:t>
      </w:r>
      <w:r w:rsidR="153AC05F">
        <w:t>section of</w:t>
      </w:r>
      <w:r>
        <w:t xml:space="preserve"> the </w:t>
      </w:r>
      <w:r w:rsidR="153AC05F">
        <w:t>proposal.</w:t>
      </w:r>
    </w:p>
    <w:p w14:paraId="3D9A1C36" w14:textId="77777777" w:rsidR="006C274F" w:rsidRDefault="006C274F" w:rsidP="00B67764">
      <w:pPr>
        <w:jc w:val="both"/>
      </w:pPr>
    </w:p>
    <w:p w14:paraId="0FA99A96" w14:textId="68111292" w:rsidR="006073F8" w:rsidRDefault="00762E03" w:rsidP="00B67764">
      <w:pPr>
        <w:jc w:val="both"/>
      </w:pPr>
      <w:r>
        <w:t xml:space="preserve">CRDF Global Proprietary Information: The </w:t>
      </w:r>
      <w:r w:rsidR="3C1A048A">
        <w:t>o</w:t>
      </w:r>
      <w:r>
        <w:t xml:space="preserve">fferor agrees that all non-public information contained in this document and communicated verbally in reference to this RFP by CRDF Global shall be received solely for the purpose of enabling the offerors to submit an accurate response to this RFP. The information contained in this RFP and disclosed during negotiations and communications is proprietary in nature and </w:t>
      </w:r>
      <w:proofErr w:type="gramStart"/>
      <w:r>
        <w:t>shall</w:t>
      </w:r>
      <w:proofErr w:type="gramEnd"/>
      <w:r>
        <w:t xml:space="preserve"> not be disclosed to a third party without prior written consent from CRDF Global.</w:t>
      </w:r>
    </w:p>
    <w:p w14:paraId="17670EEE" w14:textId="0856411C" w:rsidR="008B3B7F" w:rsidRDefault="008B3B7F" w:rsidP="00B67764">
      <w:pPr>
        <w:jc w:val="both"/>
      </w:pPr>
      <w:r>
        <w:t xml:space="preserve"> </w:t>
      </w:r>
    </w:p>
    <w:p w14:paraId="65F20EF4" w14:textId="38F1F620" w:rsidR="006073F8" w:rsidRDefault="7DC60D88" w:rsidP="00B67764">
      <w:pPr>
        <w:jc w:val="both"/>
      </w:pPr>
      <w:r>
        <w:t>Offeror Proprietary Information: Information contained in the response to this RFP will be considered proprietary in</w:t>
      </w:r>
    </w:p>
    <w:p w14:paraId="14CA2215" w14:textId="77777777" w:rsidR="008B3B7F" w:rsidRDefault="008B3B7F" w:rsidP="00B67764">
      <w:pPr>
        <w:jc w:val="both"/>
      </w:pPr>
      <w:r>
        <w:t xml:space="preserve">nature if marked "confidential" or "proprietary". Such marked documents will not be disclosed to third parties outside </w:t>
      </w:r>
    </w:p>
    <w:p w14:paraId="5F7AF730" w14:textId="256C1719" w:rsidR="006073F8" w:rsidRPr="008B3B7F" w:rsidRDefault="00762E03" w:rsidP="00B67764">
      <w:pPr>
        <w:jc w:val="both"/>
      </w:pPr>
      <w:r>
        <w:t xml:space="preserve">CRDF Global </w:t>
      </w:r>
      <w:r w:rsidR="1750E8A4">
        <w:t>except to</w:t>
      </w:r>
      <w:r>
        <w:t xml:space="preserve"> </w:t>
      </w:r>
      <w:proofErr w:type="gramStart"/>
      <w:r>
        <w:t>retained</w:t>
      </w:r>
      <w:proofErr w:type="gramEnd"/>
      <w:r>
        <w:t xml:space="preserve"> consultants under contractual confidentiality agreements.</w:t>
      </w:r>
    </w:p>
    <w:sectPr w:rsidR="006073F8" w:rsidRPr="008B3B7F">
      <w:headerReference w:type="even" r:id="rId13"/>
      <w:headerReference w:type="default" r:id="rId14"/>
      <w:footerReference w:type="even" r:id="rId15"/>
      <w:footerReference w:type="default" r:id="rId16"/>
      <w:headerReference w:type="first" r:id="rId17"/>
      <w:footerReference w:type="first" r:id="rId18"/>
      <w:pgSz w:w="12240" w:h="15840"/>
      <w:pgMar w:top="922" w:right="1123" w:bottom="835" w:left="1123" w:header="403"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7D08E" w14:textId="77777777" w:rsidR="007D71C7" w:rsidRDefault="007D71C7">
      <w:pPr>
        <w:spacing w:after="0" w:line="240" w:lineRule="auto"/>
      </w:pPr>
      <w:r>
        <w:separator/>
      </w:r>
    </w:p>
  </w:endnote>
  <w:endnote w:type="continuationSeparator" w:id="0">
    <w:p w14:paraId="52C52358" w14:textId="77777777" w:rsidR="007D71C7" w:rsidRDefault="007D7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1274" w14:textId="77777777" w:rsidR="00F8090C" w:rsidRDefault="00F80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8B736" w14:textId="77777777" w:rsidR="00980719" w:rsidRDefault="00980719">
    <w:pPr>
      <w:pStyle w:val="Footer"/>
      <w:jc w:val="center"/>
    </w:pPr>
    <w:r>
      <w:rPr>
        <w:color w:val="595959"/>
        <w:sz w:val="16"/>
      </w:rPr>
      <w:t xml:space="preserve">Generalized Statement of </w:t>
    </w:r>
    <w:proofErr w:type="gramStart"/>
    <w:r>
      <w:rPr>
        <w:color w:val="595959"/>
        <w:sz w:val="16"/>
      </w:rPr>
      <w:t>Work  |</w:t>
    </w:r>
    <w:proofErr w:type="gramEnd"/>
    <w:r>
      <w:rPr>
        <w:color w:val="595959"/>
        <w:sz w:val="16"/>
      </w:rPr>
      <w:t xml:space="preserve">  </w:t>
    </w:r>
    <w:r>
      <w:fldChar w:fldCharType="begin"/>
    </w:r>
    <w:r>
      <w:instrText>PAGE</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CB8DB" w14:textId="77777777" w:rsidR="00F8090C" w:rsidRDefault="00F80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7D08" w14:textId="77777777" w:rsidR="007D71C7" w:rsidRDefault="007D71C7">
      <w:pPr>
        <w:spacing w:after="0" w:line="240" w:lineRule="auto"/>
      </w:pPr>
      <w:r>
        <w:separator/>
      </w:r>
    </w:p>
  </w:footnote>
  <w:footnote w:type="continuationSeparator" w:id="0">
    <w:p w14:paraId="65C4E7B6" w14:textId="77777777" w:rsidR="007D71C7" w:rsidRDefault="007D7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16FD7" w14:textId="77777777" w:rsidR="00F8090C" w:rsidRDefault="00F80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BB49" w14:textId="77777777" w:rsidR="00980719" w:rsidRDefault="00980719">
    <w:pPr>
      <w:pStyle w:val="Header"/>
      <w:pBdr>
        <w:bottom w:val="single" w:sz="6" w:space="4" w:color="2F75B5"/>
      </w:pBdr>
      <w:jc w:val="right"/>
    </w:pPr>
    <w:r>
      <w:rPr>
        <w:b/>
        <w:color w:val="595959"/>
        <w:sz w:val="16"/>
      </w:rPr>
      <w:t xml:space="preserve">CRDF </w:t>
    </w:r>
    <w:proofErr w:type="gramStart"/>
    <w:r>
      <w:rPr>
        <w:b/>
        <w:color w:val="595959"/>
        <w:sz w:val="16"/>
      </w:rPr>
      <w:t>GLOBAL  |</w:t>
    </w:r>
    <w:proofErr w:type="gramEnd"/>
    <w:r>
      <w:rPr>
        <w:b/>
        <w:color w:val="595959"/>
        <w:sz w:val="16"/>
      </w:rPr>
      <w:t xml:space="preserve">  REQUEST FOR PROPOSALS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DBC8D" w14:textId="77777777" w:rsidR="00F8090C" w:rsidRDefault="00F80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8E6CE9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EB34E3"/>
    <w:multiLevelType w:val="hybridMultilevel"/>
    <w:tmpl w:val="FFFFFFFF"/>
    <w:lvl w:ilvl="0" w:tplc="F7260CB6">
      <w:start w:val="1"/>
      <w:numFmt w:val="bullet"/>
      <w:lvlText w:val=""/>
      <w:lvlJc w:val="left"/>
      <w:pPr>
        <w:ind w:left="360" w:hanging="360"/>
      </w:pPr>
      <w:rPr>
        <w:rFonts w:ascii="Symbol" w:hAnsi="Symbol" w:hint="default"/>
      </w:rPr>
    </w:lvl>
    <w:lvl w:ilvl="1" w:tplc="081ED6F8">
      <w:start w:val="1"/>
      <w:numFmt w:val="bullet"/>
      <w:lvlText w:val="o"/>
      <w:lvlJc w:val="left"/>
      <w:pPr>
        <w:ind w:left="1080" w:hanging="360"/>
      </w:pPr>
      <w:rPr>
        <w:rFonts w:ascii="Courier New" w:hAnsi="Courier New" w:hint="default"/>
      </w:rPr>
    </w:lvl>
    <w:lvl w:ilvl="2" w:tplc="A306959A">
      <w:start w:val="1"/>
      <w:numFmt w:val="bullet"/>
      <w:lvlText w:val=""/>
      <w:lvlJc w:val="left"/>
      <w:pPr>
        <w:ind w:left="1800" w:hanging="360"/>
      </w:pPr>
      <w:rPr>
        <w:rFonts w:ascii="Wingdings" w:hAnsi="Wingdings" w:hint="default"/>
      </w:rPr>
    </w:lvl>
    <w:lvl w:ilvl="3" w:tplc="B7AAAA96">
      <w:start w:val="1"/>
      <w:numFmt w:val="bullet"/>
      <w:lvlText w:val=""/>
      <w:lvlJc w:val="left"/>
      <w:pPr>
        <w:ind w:left="2520" w:hanging="360"/>
      </w:pPr>
      <w:rPr>
        <w:rFonts w:ascii="Symbol" w:hAnsi="Symbol" w:hint="default"/>
      </w:rPr>
    </w:lvl>
    <w:lvl w:ilvl="4" w:tplc="D4AA2F50">
      <w:start w:val="1"/>
      <w:numFmt w:val="bullet"/>
      <w:lvlText w:val="o"/>
      <w:lvlJc w:val="left"/>
      <w:pPr>
        <w:ind w:left="3240" w:hanging="360"/>
      </w:pPr>
      <w:rPr>
        <w:rFonts w:ascii="Courier New" w:hAnsi="Courier New" w:hint="default"/>
      </w:rPr>
    </w:lvl>
    <w:lvl w:ilvl="5" w:tplc="6FB4BC0E">
      <w:start w:val="1"/>
      <w:numFmt w:val="bullet"/>
      <w:lvlText w:val=""/>
      <w:lvlJc w:val="left"/>
      <w:pPr>
        <w:ind w:left="3960" w:hanging="360"/>
      </w:pPr>
      <w:rPr>
        <w:rFonts w:ascii="Wingdings" w:hAnsi="Wingdings" w:hint="default"/>
      </w:rPr>
    </w:lvl>
    <w:lvl w:ilvl="6" w:tplc="EDB611B8">
      <w:start w:val="1"/>
      <w:numFmt w:val="bullet"/>
      <w:lvlText w:val=""/>
      <w:lvlJc w:val="left"/>
      <w:pPr>
        <w:ind w:left="4680" w:hanging="360"/>
      </w:pPr>
      <w:rPr>
        <w:rFonts w:ascii="Symbol" w:hAnsi="Symbol" w:hint="default"/>
      </w:rPr>
    </w:lvl>
    <w:lvl w:ilvl="7" w:tplc="2F60DAC2">
      <w:start w:val="1"/>
      <w:numFmt w:val="bullet"/>
      <w:lvlText w:val="o"/>
      <w:lvlJc w:val="left"/>
      <w:pPr>
        <w:ind w:left="5400" w:hanging="360"/>
      </w:pPr>
      <w:rPr>
        <w:rFonts w:ascii="Courier New" w:hAnsi="Courier New" w:hint="default"/>
      </w:rPr>
    </w:lvl>
    <w:lvl w:ilvl="8" w:tplc="C8BC7B24">
      <w:start w:val="1"/>
      <w:numFmt w:val="bullet"/>
      <w:lvlText w:val=""/>
      <w:lvlJc w:val="left"/>
      <w:pPr>
        <w:ind w:left="6120" w:hanging="360"/>
      </w:pPr>
      <w:rPr>
        <w:rFonts w:ascii="Wingdings" w:hAnsi="Wingdings" w:hint="default"/>
      </w:rPr>
    </w:lvl>
  </w:abstractNum>
  <w:abstractNum w:abstractNumId="10" w15:restartNumberingAfterBreak="0">
    <w:nsid w:val="02E26625"/>
    <w:multiLevelType w:val="hybridMultilevel"/>
    <w:tmpl w:val="FFFFFFFF"/>
    <w:lvl w:ilvl="0" w:tplc="4274D036">
      <w:start w:val="1"/>
      <w:numFmt w:val="bullet"/>
      <w:lvlText w:val=""/>
      <w:lvlJc w:val="left"/>
      <w:pPr>
        <w:ind w:left="360" w:hanging="360"/>
      </w:pPr>
      <w:rPr>
        <w:rFonts w:ascii="Symbol" w:hAnsi="Symbol" w:hint="default"/>
      </w:rPr>
    </w:lvl>
    <w:lvl w:ilvl="1" w:tplc="5F5CD23C">
      <w:start w:val="1"/>
      <w:numFmt w:val="bullet"/>
      <w:lvlText w:val="o"/>
      <w:lvlJc w:val="left"/>
      <w:pPr>
        <w:ind w:left="1080" w:hanging="360"/>
      </w:pPr>
      <w:rPr>
        <w:rFonts w:ascii="Courier New" w:hAnsi="Courier New" w:hint="default"/>
      </w:rPr>
    </w:lvl>
    <w:lvl w:ilvl="2" w:tplc="EE5CDF36">
      <w:start w:val="1"/>
      <w:numFmt w:val="bullet"/>
      <w:lvlText w:val=""/>
      <w:lvlJc w:val="left"/>
      <w:pPr>
        <w:ind w:left="1800" w:hanging="360"/>
      </w:pPr>
      <w:rPr>
        <w:rFonts w:ascii="Wingdings" w:hAnsi="Wingdings" w:hint="default"/>
      </w:rPr>
    </w:lvl>
    <w:lvl w:ilvl="3" w:tplc="B31E2FD0">
      <w:start w:val="1"/>
      <w:numFmt w:val="bullet"/>
      <w:lvlText w:val=""/>
      <w:lvlJc w:val="left"/>
      <w:pPr>
        <w:ind w:left="2520" w:hanging="360"/>
      </w:pPr>
      <w:rPr>
        <w:rFonts w:ascii="Symbol" w:hAnsi="Symbol" w:hint="default"/>
      </w:rPr>
    </w:lvl>
    <w:lvl w:ilvl="4" w:tplc="A2729316">
      <w:start w:val="1"/>
      <w:numFmt w:val="bullet"/>
      <w:lvlText w:val="o"/>
      <w:lvlJc w:val="left"/>
      <w:pPr>
        <w:ind w:left="3240" w:hanging="360"/>
      </w:pPr>
      <w:rPr>
        <w:rFonts w:ascii="Courier New" w:hAnsi="Courier New" w:hint="default"/>
      </w:rPr>
    </w:lvl>
    <w:lvl w:ilvl="5" w:tplc="5798D522">
      <w:start w:val="1"/>
      <w:numFmt w:val="bullet"/>
      <w:lvlText w:val=""/>
      <w:lvlJc w:val="left"/>
      <w:pPr>
        <w:ind w:left="3960" w:hanging="360"/>
      </w:pPr>
      <w:rPr>
        <w:rFonts w:ascii="Wingdings" w:hAnsi="Wingdings" w:hint="default"/>
      </w:rPr>
    </w:lvl>
    <w:lvl w:ilvl="6" w:tplc="07107334">
      <w:start w:val="1"/>
      <w:numFmt w:val="bullet"/>
      <w:lvlText w:val=""/>
      <w:lvlJc w:val="left"/>
      <w:pPr>
        <w:ind w:left="4680" w:hanging="360"/>
      </w:pPr>
      <w:rPr>
        <w:rFonts w:ascii="Symbol" w:hAnsi="Symbol" w:hint="default"/>
      </w:rPr>
    </w:lvl>
    <w:lvl w:ilvl="7" w:tplc="FE78DAE4">
      <w:start w:val="1"/>
      <w:numFmt w:val="bullet"/>
      <w:lvlText w:val="o"/>
      <w:lvlJc w:val="left"/>
      <w:pPr>
        <w:ind w:left="5400" w:hanging="360"/>
      </w:pPr>
      <w:rPr>
        <w:rFonts w:ascii="Courier New" w:hAnsi="Courier New" w:hint="default"/>
      </w:rPr>
    </w:lvl>
    <w:lvl w:ilvl="8" w:tplc="D74870A4">
      <w:start w:val="1"/>
      <w:numFmt w:val="bullet"/>
      <w:lvlText w:val=""/>
      <w:lvlJc w:val="left"/>
      <w:pPr>
        <w:ind w:left="6120" w:hanging="360"/>
      </w:pPr>
      <w:rPr>
        <w:rFonts w:ascii="Wingdings" w:hAnsi="Wingdings" w:hint="default"/>
      </w:rPr>
    </w:lvl>
  </w:abstractNum>
  <w:abstractNum w:abstractNumId="11" w15:restartNumberingAfterBreak="0">
    <w:nsid w:val="26653077"/>
    <w:multiLevelType w:val="multilevel"/>
    <w:tmpl w:val="2312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1A689F"/>
    <w:multiLevelType w:val="multilevel"/>
    <w:tmpl w:val="B6460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DF5B98"/>
    <w:multiLevelType w:val="multilevel"/>
    <w:tmpl w:val="367EE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036731"/>
    <w:multiLevelType w:val="hybridMultilevel"/>
    <w:tmpl w:val="A3989706"/>
    <w:lvl w:ilvl="0" w:tplc="EB2A32D6">
      <w:numFmt w:val="bullet"/>
      <w:lvlText w:val="•"/>
      <w:lvlJc w:val="left"/>
      <w:pPr>
        <w:ind w:left="720" w:hanging="360"/>
      </w:pPr>
      <w:rPr>
        <w:rFonts w:ascii="Aptos" w:eastAsia="Aptos"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A11BB9"/>
    <w:multiLevelType w:val="multilevel"/>
    <w:tmpl w:val="68D42BE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E445BB"/>
    <w:multiLevelType w:val="hybridMultilevel"/>
    <w:tmpl w:val="FFFFFFFF"/>
    <w:lvl w:ilvl="0" w:tplc="3B7A244A">
      <w:start w:val="1"/>
      <w:numFmt w:val="bullet"/>
      <w:lvlText w:val=""/>
      <w:lvlJc w:val="left"/>
      <w:pPr>
        <w:ind w:left="720" w:hanging="360"/>
      </w:pPr>
      <w:rPr>
        <w:rFonts w:ascii="Symbol" w:hAnsi="Symbol" w:hint="default"/>
      </w:rPr>
    </w:lvl>
    <w:lvl w:ilvl="1" w:tplc="92CC15FA">
      <w:start w:val="1"/>
      <w:numFmt w:val="bullet"/>
      <w:lvlText w:val="o"/>
      <w:lvlJc w:val="left"/>
      <w:pPr>
        <w:ind w:left="1440" w:hanging="360"/>
      </w:pPr>
      <w:rPr>
        <w:rFonts w:ascii="Courier New" w:hAnsi="Courier New" w:hint="default"/>
      </w:rPr>
    </w:lvl>
    <w:lvl w:ilvl="2" w:tplc="88C8D0B4">
      <w:start w:val="1"/>
      <w:numFmt w:val="bullet"/>
      <w:lvlText w:val=""/>
      <w:lvlJc w:val="left"/>
      <w:pPr>
        <w:ind w:left="2160" w:hanging="360"/>
      </w:pPr>
      <w:rPr>
        <w:rFonts w:ascii="Wingdings" w:hAnsi="Wingdings" w:hint="default"/>
      </w:rPr>
    </w:lvl>
    <w:lvl w:ilvl="3" w:tplc="0EF072BA">
      <w:start w:val="1"/>
      <w:numFmt w:val="bullet"/>
      <w:lvlText w:val=""/>
      <w:lvlJc w:val="left"/>
      <w:pPr>
        <w:ind w:left="2880" w:hanging="360"/>
      </w:pPr>
      <w:rPr>
        <w:rFonts w:ascii="Symbol" w:hAnsi="Symbol" w:hint="default"/>
      </w:rPr>
    </w:lvl>
    <w:lvl w:ilvl="4" w:tplc="CE40E4AE">
      <w:start w:val="1"/>
      <w:numFmt w:val="bullet"/>
      <w:lvlText w:val="o"/>
      <w:lvlJc w:val="left"/>
      <w:pPr>
        <w:ind w:left="3600" w:hanging="360"/>
      </w:pPr>
      <w:rPr>
        <w:rFonts w:ascii="Courier New" w:hAnsi="Courier New" w:hint="default"/>
      </w:rPr>
    </w:lvl>
    <w:lvl w:ilvl="5" w:tplc="66C064FC">
      <w:start w:val="1"/>
      <w:numFmt w:val="bullet"/>
      <w:lvlText w:val=""/>
      <w:lvlJc w:val="left"/>
      <w:pPr>
        <w:ind w:left="4320" w:hanging="360"/>
      </w:pPr>
      <w:rPr>
        <w:rFonts w:ascii="Wingdings" w:hAnsi="Wingdings" w:hint="default"/>
      </w:rPr>
    </w:lvl>
    <w:lvl w:ilvl="6" w:tplc="8D80E5CA">
      <w:start w:val="1"/>
      <w:numFmt w:val="bullet"/>
      <w:lvlText w:val=""/>
      <w:lvlJc w:val="left"/>
      <w:pPr>
        <w:ind w:left="5040" w:hanging="360"/>
      </w:pPr>
      <w:rPr>
        <w:rFonts w:ascii="Symbol" w:hAnsi="Symbol" w:hint="default"/>
      </w:rPr>
    </w:lvl>
    <w:lvl w:ilvl="7" w:tplc="23B67EB4">
      <w:start w:val="1"/>
      <w:numFmt w:val="bullet"/>
      <w:lvlText w:val="o"/>
      <w:lvlJc w:val="left"/>
      <w:pPr>
        <w:ind w:left="5760" w:hanging="360"/>
      </w:pPr>
      <w:rPr>
        <w:rFonts w:ascii="Courier New" w:hAnsi="Courier New" w:hint="default"/>
      </w:rPr>
    </w:lvl>
    <w:lvl w:ilvl="8" w:tplc="5EFE9FFC">
      <w:start w:val="1"/>
      <w:numFmt w:val="bullet"/>
      <w:lvlText w:val=""/>
      <w:lvlJc w:val="left"/>
      <w:pPr>
        <w:ind w:left="6480" w:hanging="360"/>
      </w:pPr>
      <w:rPr>
        <w:rFonts w:ascii="Wingdings" w:hAnsi="Wingdings" w:hint="default"/>
      </w:rPr>
    </w:lvl>
  </w:abstractNum>
  <w:abstractNum w:abstractNumId="17" w15:restartNumberingAfterBreak="0">
    <w:nsid w:val="45E402B7"/>
    <w:multiLevelType w:val="multilevel"/>
    <w:tmpl w:val="8DBCE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6F0628"/>
    <w:multiLevelType w:val="hybridMultilevel"/>
    <w:tmpl w:val="FFFFFFFF"/>
    <w:lvl w:ilvl="0" w:tplc="C032CEFE">
      <w:start w:val="1"/>
      <w:numFmt w:val="bullet"/>
      <w:lvlText w:val=""/>
      <w:lvlJc w:val="left"/>
      <w:pPr>
        <w:ind w:left="360" w:hanging="360"/>
      </w:pPr>
      <w:rPr>
        <w:rFonts w:ascii="Symbol" w:hAnsi="Symbol" w:hint="default"/>
      </w:rPr>
    </w:lvl>
    <w:lvl w:ilvl="1" w:tplc="8BCC8092">
      <w:start w:val="1"/>
      <w:numFmt w:val="bullet"/>
      <w:lvlText w:val="o"/>
      <w:lvlJc w:val="left"/>
      <w:pPr>
        <w:ind w:left="1080" w:hanging="360"/>
      </w:pPr>
      <w:rPr>
        <w:rFonts w:ascii="Courier New" w:hAnsi="Courier New" w:hint="default"/>
      </w:rPr>
    </w:lvl>
    <w:lvl w:ilvl="2" w:tplc="DE46B038">
      <w:start w:val="1"/>
      <w:numFmt w:val="bullet"/>
      <w:lvlText w:val=""/>
      <w:lvlJc w:val="left"/>
      <w:pPr>
        <w:ind w:left="1800" w:hanging="360"/>
      </w:pPr>
      <w:rPr>
        <w:rFonts w:ascii="Wingdings" w:hAnsi="Wingdings" w:hint="default"/>
      </w:rPr>
    </w:lvl>
    <w:lvl w:ilvl="3" w:tplc="D5443412">
      <w:start w:val="1"/>
      <w:numFmt w:val="bullet"/>
      <w:lvlText w:val=""/>
      <w:lvlJc w:val="left"/>
      <w:pPr>
        <w:ind w:left="2520" w:hanging="360"/>
      </w:pPr>
      <w:rPr>
        <w:rFonts w:ascii="Symbol" w:hAnsi="Symbol" w:hint="default"/>
      </w:rPr>
    </w:lvl>
    <w:lvl w:ilvl="4" w:tplc="E5327298">
      <w:start w:val="1"/>
      <w:numFmt w:val="bullet"/>
      <w:lvlText w:val="o"/>
      <w:lvlJc w:val="left"/>
      <w:pPr>
        <w:ind w:left="3240" w:hanging="360"/>
      </w:pPr>
      <w:rPr>
        <w:rFonts w:ascii="Courier New" w:hAnsi="Courier New" w:hint="default"/>
      </w:rPr>
    </w:lvl>
    <w:lvl w:ilvl="5" w:tplc="D134559C">
      <w:start w:val="1"/>
      <w:numFmt w:val="bullet"/>
      <w:lvlText w:val=""/>
      <w:lvlJc w:val="left"/>
      <w:pPr>
        <w:ind w:left="3960" w:hanging="360"/>
      </w:pPr>
      <w:rPr>
        <w:rFonts w:ascii="Wingdings" w:hAnsi="Wingdings" w:hint="default"/>
      </w:rPr>
    </w:lvl>
    <w:lvl w:ilvl="6" w:tplc="93F48BF2">
      <w:start w:val="1"/>
      <w:numFmt w:val="bullet"/>
      <w:lvlText w:val=""/>
      <w:lvlJc w:val="left"/>
      <w:pPr>
        <w:ind w:left="4680" w:hanging="360"/>
      </w:pPr>
      <w:rPr>
        <w:rFonts w:ascii="Symbol" w:hAnsi="Symbol" w:hint="default"/>
      </w:rPr>
    </w:lvl>
    <w:lvl w:ilvl="7" w:tplc="4BC2B3AE">
      <w:start w:val="1"/>
      <w:numFmt w:val="bullet"/>
      <w:lvlText w:val="o"/>
      <w:lvlJc w:val="left"/>
      <w:pPr>
        <w:ind w:left="5400" w:hanging="360"/>
      </w:pPr>
      <w:rPr>
        <w:rFonts w:ascii="Courier New" w:hAnsi="Courier New" w:hint="default"/>
      </w:rPr>
    </w:lvl>
    <w:lvl w:ilvl="8" w:tplc="CB6202BC">
      <w:start w:val="1"/>
      <w:numFmt w:val="bullet"/>
      <w:lvlText w:val=""/>
      <w:lvlJc w:val="left"/>
      <w:pPr>
        <w:ind w:left="6120" w:hanging="360"/>
      </w:pPr>
      <w:rPr>
        <w:rFonts w:ascii="Wingdings" w:hAnsi="Wingdings" w:hint="default"/>
      </w:rPr>
    </w:lvl>
  </w:abstractNum>
  <w:abstractNum w:abstractNumId="19" w15:restartNumberingAfterBreak="0">
    <w:nsid w:val="4FA52937"/>
    <w:multiLevelType w:val="multilevel"/>
    <w:tmpl w:val="9954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4539F1"/>
    <w:multiLevelType w:val="multilevel"/>
    <w:tmpl w:val="3B00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840EF5"/>
    <w:multiLevelType w:val="multilevel"/>
    <w:tmpl w:val="F4BC6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6E1D34"/>
    <w:multiLevelType w:val="multilevel"/>
    <w:tmpl w:val="F4E6C2EA"/>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ascii="Aptos" w:eastAsia="Aptos" w:hAnsi="Aptos" w:cstheme="minorBidi" w:hint="default"/>
        <w:b w:val="0"/>
        <w:color w:val="222222"/>
        <w:sz w:val="19"/>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887FCB"/>
    <w:multiLevelType w:val="multilevel"/>
    <w:tmpl w:val="C89227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E53C92"/>
    <w:multiLevelType w:val="multilevel"/>
    <w:tmpl w:val="DD98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C47E2A"/>
    <w:multiLevelType w:val="hybridMultilevel"/>
    <w:tmpl w:val="AD44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B34EF0"/>
    <w:multiLevelType w:val="hybridMultilevel"/>
    <w:tmpl w:val="FFFFFFFF"/>
    <w:lvl w:ilvl="0" w:tplc="E8E06310">
      <w:start w:val="1"/>
      <w:numFmt w:val="bullet"/>
      <w:lvlText w:val=""/>
      <w:lvlJc w:val="left"/>
      <w:pPr>
        <w:ind w:left="360" w:hanging="360"/>
      </w:pPr>
      <w:rPr>
        <w:rFonts w:ascii="Symbol" w:hAnsi="Symbol" w:hint="default"/>
      </w:rPr>
    </w:lvl>
    <w:lvl w:ilvl="1" w:tplc="FC38788E">
      <w:start w:val="1"/>
      <w:numFmt w:val="bullet"/>
      <w:lvlText w:val="o"/>
      <w:lvlJc w:val="left"/>
      <w:pPr>
        <w:ind w:left="1080" w:hanging="360"/>
      </w:pPr>
      <w:rPr>
        <w:rFonts w:ascii="Courier New" w:hAnsi="Courier New" w:hint="default"/>
      </w:rPr>
    </w:lvl>
    <w:lvl w:ilvl="2" w:tplc="54F8FF4E">
      <w:start w:val="1"/>
      <w:numFmt w:val="bullet"/>
      <w:lvlText w:val=""/>
      <w:lvlJc w:val="left"/>
      <w:pPr>
        <w:ind w:left="1800" w:hanging="360"/>
      </w:pPr>
      <w:rPr>
        <w:rFonts w:ascii="Wingdings" w:hAnsi="Wingdings" w:hint="default"/>
      </w:rPr>
    </w:lvl>
    <w:lvl w:ilvl="3" w:tplc="1E560D80">
      <w:start w:val="1"/>
      <w:numFmt w:val="bullet"/>
      <w:lvlText w:val=""/>
      <w:lvlJc w:val="left"/>
      <w:pPr>
        <w:ind w:left="2520" w:hanging="360"/>
      </w:pPr>
      <w:rPr>
        <w:rFonts w:ascii="Symbol" w:hAnsi="Symbol" w:hint="default"/>
      </w:rPr>
    </w:lvl>
    <w:lvl w:ilvl="4" w:tplc="5AF836EE">
      <w:start w:val="1"/>
      <w:numFmt w:val="bullet"/>
      <w:lvlText w:val="o"/>
      <w:lvlJc w:val="left"/>
      <w:pPr>
        <w:ind w:left="3240" w:hanging="360"/>
      </w:pPr>
      <w:rPr>
        <w:rFonts w:ascii="Courier New" w:hAnsi="Courier New" w:hint="default"/>
      </w:rPr>
    </w:lvl>
    <w:lvl w:ilvl="5" w:tplc="A27CD8E8">
      <w:start w:val="1"/>
      <w:numFmt w:val="bullet"/>
      <w:lvlText w:val=""/>
      <w:lvlJc w:val="left"/>
      <w:pPr>
        <w:ind w:left="3960" w:hanging="360"/>
      </w:pPr>
      <w:rPr>
        <w:rFonts w:ascii="Wingdings" w:hAnsi="Wingdings" w:hint="default"/>
      </w:rPr>
    </w:lvl>
    <w:lvl w:ilvl="6" w:tplc="E162210A">
      <w:start w:val="1"/>
      <w:numFmt w:val="bullet"/>
      <w:lvlText w:val=""/>
      <w:lvlJc w:val="left"/>
      <w:pPr>
        <w:ind w:left="4680" w:hanging="360"/>
      </w:pPr>
      <w:rPr>
        <w:rFonts w:ascii="Symbol" w:hAnsi="Symbol" w:hint="default"/>
      </w:rPr>
    </w:lvl>
    <w:lvl w:ilvl="7" w:tplc="E8C44322">
      <w:start w:val="1"/>
      <w:numFmt w:val="bullet"/>
      <w:lvlText w:val="o"/>
      <w:lvlJc w:val="left"/>
      <w:pPr>
        <w:ind w:left="5400" w:hanging="360"/>
      </w:pPr>
      <w:rPr>
        <w:rFonts w:ascii="Courier New" w:hAnsi="Courier New" w:hint="default"/>
      </w:rPr>
    </w:lvl>
    <w:lvl w:ilvl="8" w:tplc="E5C69308">
      <w:start w:val="1"/>
      <w:numFmt w:val="bullet"/>
      <w:lvlText w:val=""/>
      <w:lvlJc w:val="left"/>
      <w:pPr>
        <w:ind w:left="6120" w:hanging="360"/>
      </w:pPr>
      <w:rPr>
        <w:rFonts w:ascii="Wingdings" w:hAnsi="Wingdings" w:hint="default"/>
      </w:rPr>
    </w:lvl>
  </w:abstractNum>
  <w:num w:numId="1" w16cid:durableId="1059014661">
    <w:abstractNumId w:val="15"/>
  </w:num>
  <w:num w:numId="2" w16cid:durableId="1136799523">
    <w:abstractNumId w:val="7"/>
  </w:num>
  <w:num w:numId="3" w16cid:durableId="1153915566">
    <w:abstractNumId w:val="8"/>
  </w:num>
  <w:num w:numId="4" w16cid:durableId="1183318512">
    <w:abstractNumId w:val="22"/>
  </w:num>
  <w:num w:numId="5" w16cid:durableId="1438909344">
    <w:abstractNumId w:val="4"/>
  </w:num>
  <w:num w:numId="6" w16cid:durableId="1571502733">
    <w:abstractNumId w:val="25"/>
  </w:num>
  <w:num w:numId="7" w16cid:durableId="1588229904">
    <w:abstractNumId w:val="5"/>
  </w:num>
  <w:num w:numId="8" w16cid:durableId="1595505158">
    <w:abstractNumId w:val="17"/>
  </w:num>
  <w:num w:numId="9" w16cid:durableId="1600917488">
    <w:abstractNumId w:val="0"/>
  </w:num>
  <w:num w:numId="10" w16cid:durableId="1605729632">
    <w:abstractNumId w:val="13"/>
  </w:num>
  <w:num w:numId="11" w16cid:durableId="1728067825">
    <w:abstractNumId w:val="1"/>
  </w:num>
  <w:num w:numId="12" w16cid:durableId="1746100846">
    <w:abstractNumId w:val="16"/>
  </w:num>
  <w:num w:numId="13" w16cid:durableId="1786536238">
    <w:abstractNumId w:val="18"/>
  </w:num>
  <w:num w:numId="14" w16cid:durableId="1819303154">
    <w:abstractNumId w:val="14"/>
  </w:num>
  <w:num w:numId="15" w16cid:durableId="1874031972">
    <w:abstractNumId w:val="21"/>
  </w:num>
  <w:num w:numId="16" w16cid:durableId="1999141671">
    <w:abstractNumId w:val="11"/>
  </w:num>
  <w:num w:numId="17" w16cid:durableId="208877480">
    <w:abstractNumId w:val="23"/>
  </w:num>
  <w:num w:numId="18" w16cid:durableId="2106804413">
    <w:abstractNumId w:val="12"/>
  </w:num>
  <w:num w:numId="19" w16cid:durableId="26032649">
    <w:abstractNumId w:val="6"/>
  </w:num>
  <w:num w:numId="20" w16cid:durableId="320546710">
    <w:abstractNumId w:val="26"/>
  </w:num>
  <w:num w:numId="21" w16cid:durableId="582567485">
    <w:abstractNumId w:val="10"/>
  </w:num>
  <w:num w:numId="22" w16cid:durableId="641350108">
    <w:abstractNumId w:val="9"/>
  </w:num>
  <w:num w:numId="23" w16cid:durableId="668754242">
    <w:abstractNumId w:val="3"/>
  </w:num>
  <w:num w:numId="24" w16cid:durableId="742727673">
    <w:abstractNumId w:val="19"/>
  </w:num>
  <w:num w:numId="25" w16cid:durableId="749078203">
    <w:abstractNumId w:val="2"/>
  </w:num>
  <w:num w:numId="26" w16cid:durableId="916285426">
    <w:abstractNumId w:val="8"/>
  </w:num>
  <w:num w:numId="27" w16cid:durableId="352847565">
    <w:abstractNumId w:val="20"/>
  </w:num>
  <w:num w:numId="28" w16cid:durableId="120628541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100"/>
    <w:rsid w:val="000112D5"/>
    <w:rsid w:val="00015FE9"/>
    <w:rsid w:val="00030F4E"/>
    <w:rsid w:val="00034616"/>
    <w:rsid w:val="00044822"/>
    <w:rsid w:val="00044837"/>
    <w:rsid w:val="00044F41"/>
    <w:rsid w:val="0004582E"/>
    <w:rsid w:val="00046817"/>
    <w:rsid w:val="00052EE7"/>
    <w:rsid w:val="00060050"/>
    <w:rsid w:val="0006063C"/>
    <w:rsid w:val="000650ED"/>
    <w:rsid w:val="00067AAC"/>
    <w:rsid w:val="00093336"/>
    <w:rsid w:val="00096961"/>
    <w:rsid w:val="000A1227"/>
    <w:rsid w:val="000B09A3"/>
    <w:rsid w:val="000B2804"/>
    <w:rsid w:val="000D4499"/>
    <w:rsid w:val="000E74B0"/>
    <w:rsid w:val="000F0E87"/>
    <w:rsid w:val="000F1718"/>
    <w:rsid w:val="000F635F"/>
    <w:rsid w:val="001129E5"/>
    <w:rsid w:val="0012156C"/>
    <w:rsid w:val="001259B1"/>
    <w:rsid w:val="0013037A"/>
    <w:rsid w:val="00132764"/>
    <w:rsid w:val="00134D57"/>
    <w:rsid w:val="00144831"/>
    <w:rsid w:val="0015074B"/>
    <w:rsid w:val="00174811"/>
    <w:rsid w:val="00190116"/>
    <w:rsid w:val="001928B9"/>
    <w:rsid w:val="001931C6"/>
    <w:rsid w:val="001936AE"/>
    <w:rsid w:val="001947A5"/>
    <w:rsid w:val="00196B7A"/>
    <w:rsid w:val="001A3BBA"/>
    <w:rsid w:val="001C12E4"/>
    <w:rsid w:val="001C48C4"/>
    <w:rsid w:val="001E5DD7"/>
    <w:rsid w:val="001E78BF"/>
    <w:rsid w:val="001E7B32"/>
    <w:rsid w:val="001F34AD"/>
    <w:rsid w:val="0021021C"/>
    <w:rsid w:val="00215D58"/>
    <w:rsid w:val="00216D90"/>
    <w:rsid w:val="00221A18"/>
    <w:rsid w:val="00225870"/>
    <w:rsid w:val="002277DC"/>
    <w:rsid w:val="002363CA"/>
    <w:rsid w:val="0023701F"/>
    <w:rsid w:val="00242412"/>
    <w:rsid w:val="00244F38"/>
    <w:rsid w:val="00245407"/>
    <w:rsid w:val="00252314"/>
    <w:rsid w:val="00270672"/>
    <w:rsid w:val="00295E4E"/>
    <w:rsid w:val="0029639D"/>
    <w:rsid w:val="002B165D"/>
    <w:rsid w:val="002B4690"/>
    <w:rsid w:val="002E527C"/>
    <w:rsid w:val="002E7B8D"/>
    <w:rsid w:val="002F4EC4"/>
    <w:rsid w:val="00317555"/>
    <w:rsid w:val="00322617"/>
    <w:rsid w:val="003251F1"/>
    <w:rsid w:val="00326F90"/>
    <w:rsid w:val="00336950"/>
    <w:rsid w:val="00344F3C"/>
    <w:rsid w:val="00351C63"/>
    <w:rsid w:val="00354679"/>
    <w:rsid w:val="00355A48"/>
    <w:rsid w:val="0036222D"/>
    <w:rsid w:val="0037128D"/>
    <w:rsid w:val="00373684"/>
    <w:rsid w:val="00382C72"/>
    <w:rsid w:val="00397487"/>
    <w:rsid w:val="003B2687"/>
    <w:rsid w:val="003B2AC8"/>
    <w:rsid w:val="003B5598"/>
    <w:rsid w:val="003B6EFA"/>
    <w:rsid w:val="003B6F45"/>
    <w:rsid w:val="003C3EEA"/>
    <w:rsid w:val="004079EC"/>
    <w:rsid w:val="004134BC"/>
    <w:rsid w:val="00417B86"/>
    <w:rsid w:val="0042745E"/>
    <w:rsid w:val="00430BEE"/>
    <w:rsid w:val="00440D4C"/>
    <w:rsid w:val="00443678"/>
    <w:rsid w:val="004463C0"/>
    <w:rsid w:val="00446CC7"/>
    <w:rsid w:val="00451737"/>
    <w:rsid w:val="0045310B"/>
    <w:rsid w:val="00453C5E"/>
    <w:rsid w:val="0046454D"/>
    <w:rsid w:val="00481E53"/>
    <w:rsid w:val="00483A40"/>
    <w:rsid w:val="0049033C"/>
    <w:rsid w:val="004A32A6"/>
    <w:rsid w:val="004B378A"/>
    <w:rsid w:val="004C1604"/>
    <w:rsid w:val="004D537C"/>
    <w:rsid w:val="004E7305"/>
    <w:rsid w:val="004E7A67"/>
    <w:rsid w:val="004F0E07"/>
    <w:rsid w:val="004F528B"/>
    <w:rsid w:val="005035DE"/>
    <w:rsid w:val="005071FB"/>
    <w:rsid w:val="00507F1B"/>
    <w:rsid w:val="005159FF"/>
    <w:rsid w:val="00520094"/>
    <w:rsid w:val="00531412"/>
    <w:rsid w:val="00533DFF"/>
    <w:rsid w:val="005474C1"/>
    <w:rsid w:val="005710D3"/>
    <w:rsid w:val="00574200"/>
    <w:rsid w:val="00575594"/>
    <w:rsid w:val="00580CE5"/>
    <w:rsid w:val="005911BF"/>
    <w:rsid w:val="005B148D"/>
    <w:rsid w:val="005B3255"/>
    <w:rsid w:val="005B7F10"/>
    <w:rsid w:val="005D1DFC"/>
    <w:rsid w:val="005D48EF"/>
    <w:rsid w:val="005D4A45"/>
    <w:rsid w:val="005E1FB4"/>
    <w:rsid w:val="005F02C1"/>
    <w:rsid w:val="005F188E"/>
    <w:rsid w:val="006073F8"/>
    <w:rsid w:val="00612CA3"/>
    <w:rsid w:val="006176C4"/>
    <w:rsid w:val="00621A5F"/>
    <w:rsid w:val="0062681A"/>
    <w:rsid w:val="006658FC"/>
    <w:rsid w:val="00670C91"/>
    <w:rsid w:val="0067526D"/>
    <w:rsid w:val="00677BB3"/>
    <w:rsid w:val="00681E4E"/>
    <w:rsid w:val="00686C44"/>
    <w:rsid w:val="00687B11"/>
    <w:rsid w:val="00690ADD"/>
    <w:rsid w:val="006A451D"/>
    <w:rsid w:val="006A612C"/>
    <w:rsid w:val="006C274F"/>
    <w:rsid w:val="006D03C6"/>
    <w:rsid w:val="006E03F7"/>
    <w:rsid w:val="006F4A8F"/>
    <w:rsid w:val="006F5B22"/>
    <w:rsid w:val="006F75A7"/>
    <w:rsid w:val="00713131"/>
    <w:rsid w:val="0072768D"/>
    <w:rsid w:val="007319F1"/>
    <w:rsid w:val="007438C1"/>
    <w:rsid w:val="007467BC"/>
    <w:rsid w:val="00762E03"/>
    <w:rsid w:val="00764E20"/>
    <w:rsid w:val="007673D9"/>
    <w:rsid w:val="00777279"/>
    <w:rsid w:val="00786CD8"/>
    <w:rsid w:val="007936E4"/>
    <w:rsid w:val="007A3D35"/>
    <w:rsid w:val="007B700E"/>
    <w:rsid w:val="007B76A2"/>
    <w:rsid w:val="007D71C7"/>
    <w:rsid w:val="007F458D"/>
    <w:rsid w:val="00812289"/>
    <w:rsid w:val="00823935"/>
    <w:rsid w:val="0083327D"/>
    <w:rsid w:val="008348D0"/>
    <w:rsid w:val="00834F62"/>
    <w:rsid w:val="00840C8A"/>
    <w:rsid w:val="00845704"/>
    <w:rsid w:val="00867A65"/>
    <w:rsid w:val="00876A2C"/>
    <w:rsid w:val="00876A3D"/>
    <w:rsid w:val="00882030"/>
    <w:rsid w:val="008A21B8"/>
    <w:rsid w:val="008B1B70"/>
    <w:rsid w:val="008B3B7F"/>
    <w:rsid w:val="008B3B86"/>
    <w:rsid w:val="008C1D3C"/>
    <w:rsid w:val="008C6354"/>
    <w:rsid w:val="008E06E9"/>
    <w:rsid w:val="008E08D6"/>
    <w:rsid w:val="008F5AB3"/>
    <w:rsid w:val="0090125D"/>
    <w:rsid w:val="0090540B"/>
    <w:rsid w:val="00927A13"/>
    <w:rsid w:val="00932374"/>
    <w:rsid w:val="00941306"/>
    <w:rsid w:val="00946D21"/>
    <w:rsid w:val="00962468"/>
    <w:rsid w:val="00963965"/>
    <w:rsid w:val="00967D80"/>
    <w:rsid w:val="0097284B"/>
    <w:rsid w:val="0097521F"/>
    <w:rsid w:val="00980719"/>
    <w:rsid w:val="009A5621"/>
    <w:rsid w:val="009A5A65"/>
    <w:rsid w:val="009A604C"/>
    <w:rsid w:val="009B1016"/>
    <w:rsid w:val="009B46A2"/>
    <w:rsid w:val="009C652E"/>
    <w:rsid w:val="009D0FA6"/>
    <w:rsid w:val="009D6DF7"/>
    <w:rsid w:val="009E0DA2"/>
    <w:rsid w:val="009F2BAB"/>
    <w:rsid w:val="00A102E7"/>
    <w:rsid w:val="00A2324E"/>
    <w:rsid w:val="00A270CD"/>
    <w:rsid w:val="00A30075"/>
    <w:rsid w:val="00A30CB2"/>
    <w:rsid w:val="00A402B5"/>
    <w:rsid w:val="00A52B18"/>
    <w:rsid w:val="00A6772A"/>
    <w:rsid w:val="00A75D76"/>
    <w:rsid w:val="00A75F59"/>
    <w:rsid w:val="00A80ECA"/>
    <w:rsid w:val="00A856C9"/>
    <w:rsid w:val="00A92A26"/>
    <w:rsid w:val="00AA1D8D"/>
    <w:rsid w:val="00AA4E4B"/>
    <w:rsid w:val="00AA556B"/>
    <w:rsid w:val="00AB3E03"/>
    <w:rsid w:val="00AB6FB3"/>
    <w:rsid w:val="00AB798B"/>
    <w:rsid w:val="00AB7A3D"/>
    <w:rsid w:val="00AC0311"/>
    <w:rsid w:val="00AC30E9"/>
    <w:rsid w:val="00AD20B4"/>
    <w:rsid w:val="00AD3B9B"/>
    <w:rsid w:val="00AE4498"/>
    <w:rsid w:val="00AE61A3"/>
    <w:rsid w:val="00AF2B42"/>
    <w:rsid w:val="00AF57B7"/>
    <w:rsid w:val="00B0105F"/>
    <w:rsid w:val="00B02738"/>
    <w:rsid w:val="00B06C67"/>
    <w:rsid w:val="00B25990"/>
    <w:rsid w:val="00B317DF"/>
    <w:rsid w:val="00B36E9B"/>
    <w:rsid w:val="00B43D9D"/>
    <w:rsid w:val="00B47730"/>
    <w:rsid w:val="00B53009"/>
    <w:rsid w:val="00B55035"/>
    <w:rsid w:val="00B620BB"/>
    <w:rsid w:val="00B67764"/>
    <w:rsid w:val="00B73A09"/>
    <w:rsid w:val="00B90247"/>
    <w:rsid w:val="00B95F43"/>
    <w:rsid w:val="00B97197"/>
    <w:rsid w:val="00BB2C26"/>
    <w:rsid w:val="00BB7EFB"/>
    <w:rsid w:val="00BD75C3"/>
    <w:rsid w:val="00BE2E46"/>
    <w:rsid w:val="00BE5826"/>
    <w:rsid w:val="00BF1C26"/>
    <w:rsid w:val="00BF2EA5"/>
    <w:rsid w:val="00BF34D8"/>
    <w:rsid w:val="00C05A34"/>
    <w:rsid w:val="00C12C12"/>
    <w:rsid w:val="00C224F1"/>
    <w:rsid w:val="00C36A52"/>
    <w:rsid w:val="00C37993"/>
    <w:rsid w:val="00C422AC"/>
    <w:rsid w:val="00C47C1D"/>
    <w:rsid w:val="00C5791F"/>
    <w:rsid w:val="00C62A32"/>
    <w:rsid w:val="00C63ACA"/>
    <w:rsid w:val="00C6511F"/>
    <w:rsid w:val="00C70B87"/>
    <w:rsid w:val="00C93E16"/>
    <w:rsid w:val="00CA08F4"/>
    <w:rsid w:val="00CA71FC"/>
    <w:rsid w:val="00CB0664"/>
    <w:rsid w:val="00CB22F1"/>
    <w:rsid w:val="00CD06C0"/>
    <w:rsid w:val="00CD2E5A"/>
    <w:rsid w:val="00CD6C57"/>
    <w:rsid w:val="00CF211C"/>
    <w:rsid w:val="00CF2A36"/>
    <w:rsid w:val="00CF2C51"/>
    <w:rsid w:val="00D04D76"/>
    <w:rsid w:val="00D24051"/>
    <w:rsid w:val="00D25922"/>
    <w:rsid w:val="00D2613E"/>
    <w:rsid w:val="00D31A98"/>
    <w:rsid w:val="00D3669B"/>
    <w:rsid w:val="00D36C54"/>
    <w:rsid w:val="00D55A2B"/>
    <w:rsid w:val="00D622CA"/>
    <w:rsid w:val="00D64F0F"/>
    <w:rsid w:val="00D661DD"/>
    <w:rsid w:val="00D71C12"/>
    <w:rsid w:val="00D74A51"/>
    <w:rsid w:val="00D82F30"/>
    <w:rsid w:val="00D92CA3"/>
    <w:rsid w:val="00DA44A4"/>
    <w:rsid w:val="00DB676B"/>
    <w:rsid w:val="00DC611F"/>
    <w:rsid w:val="00DE76D3"/>
    <w:rsid w:val="00DE7ADD"/>
    <w:rsid w:val="00DF2F28"/>
    <w:rsid w:val="00E022F8"/>
    <w:rsid w:val="00E03DC3"/>
    <w:rsid w:val="00E06BA9"/>
    <w:rsid w:val="00E15D38"/>
    <w:rsid w:val="00E4389E"/>
    <w:rsid w:val="00E519BB"/>
    <w:rsid w:val="00E5690A"/>
    <w:rsid w:val="00E6009B"/>
    <w:rsid w:val="00E61618"/>
    <w:rsid w:val="00E7385A"/>
    <w:rsid w:val="00E754DE"/>
    <w:rsid w:val="00E95A66"/>
    <w:rsid w:val="00EA1750"/>
    <w:rsid w:val="00EA35AB"/>
    <w:rsid w:val="00EA5F2C"/>
    <w:rsid w:val="00EA6486"/>
    <w:rsid w:val="00EB2471"/>
    <w:rsid w:val="00EC61AF"/>
    <w:rsid w:val="00EC6C5C"/>
    <w:rsid w:val="00EE6C3D"/>
    <w:rsid w:val="00F045D4"/>
    <w:rsid w:val="00F07601"/>
    <w:rsid w:val="00F133CF"/>
    <w:rsid w:val="00F21533"/>
    <w:rsid w:val="00F2375D"/>
    <w:rsid w:val="00F37717"/>
    <w:rsid w:val="00F50C16"/>
    <w:rsid w:val="00F50EF7"/>
    <w:rsid w:val="00F52F32"/>
    <w:rsid w:val="00F53964"/>
    <w:rsid w:val="00F55F62"/>
    <w:rsid w:val="00F6517B"/>
    <w:rsid w:val="00F76F43"/>
    <w:rsid w:val="00F8090C"/>
    <w:rsid w:val="00F81159"/>
    <w:rsid w:val="00F85826"/>
    <w:rsid w:val="00F8661C"/>
    <w:rsid w:val="00F90971"/>
    <w:rsid w:val="00F95F11"/>
    <w:rsid w:val="00F965B2"/>
    <w:rsid w:val="00FA5D17"/>
    <w:rsid w:val="00FB22DB"/>
    <w:rsid w:val="00FB79D8"/>
    <w:rsid w:val="00FC0CF9"/>
    <w:rsid w:val="00FC693F"/>
    <w:rsid w:val="00FE7360"/>
    <w:rsid w:val="00FF76A4"/>
    <w:rsid w:val="03FB0D82"/>
    <w:rsid w:val="05337C05"/>
    <w:rsid w:val="05C7EEF5"/>
    <w:rsid w:val="08171DFD"/>
    <w:rsid w:val="088E4863"/>
    <w:rsid w:val="0A22B434"/>
    <w:rsid w:val="0B6F0EAA"/>
    <w:rsid w:val="0BA9FCBC"/>
    <w:rsid w:val="0BF5F815"/>
    <w:rsid w:val="0E10055D"/>
    <w:rsid w:val="0FB07BB3"/>
    <w:rsid w:val="10A6DFF2"/>
    <w:rsid w:val="120BA06E"/>
    <w:rsid w:val="12E8F2C2"/>
    <w:rsid w:val="1349AF22"/>
    <w:rsid w:val="13C17C44"/>
    <w:rsid w:val="153AC05F"/>
    <w:rsid w:val="1750E8A4"/>
    <w:rsid w:val="1AACEBE9"/>
    <w:rsid w:val="1B3A52E8"/>
    <w:rsid w:val="1D32D179"/>
    <w:rsid w:val="1D69356C"/>
    <w:rsid w:val="1FB56A7A"/>
    <w:rsid w:val="1FD1A33F"/>
    <w:rsid w:val="21CE4C42"/>
    <w:rsid w:val="22515F88"/>
    <w:rsid w:val="24900751"/>
    <w:rsid w:val="2538F8BB"/>
    <w:rsid w:val="258361E9"/>
    <w:rsid w:val="27EE30D4"/>
    <w:rsid w:val="2841104C"/>
    <w:rsid w:val="29BDBEDE"/>
    <w:rsid w:val="2EBD42B8"/>
    <w:rsid w:val="2ECE23F7"/>
    <w:rsid w:val="312B3A34"/>
    <w:rsid w:val="3280430B"/>
    <w:rsid w:val="351BC397"/>
    <w:rsid w:val="3710412A"/>
    <w:rsid w:val="378AAA50"/>
    <w:rsid w:val="37ED8C06"/>
    <w:rsid w:val="386381E8"/>
    <w:rsid w:val="39504643"/>
    <w:rsid w:val="39744E14"/>
    <w:rsid w:val="39912780"/>
    <w:rsid w:val="3BBEBC8F"/>
    <w:rsid w:val="3C1A048A"/>
    <w:rsid w:val="3C3850F7"/>
    <w:rsid w:val="40F48570"/>
    <w:rsid w:val="4519B94F"/>
    <w:rsid w:val="45D4FE99"/>
    <w:rsid w:val="476E4F48"/>
    <w:rsid w:val="4797B0C3"/>
    <w:rsid w:val="491900A1"/>
    <w:rsid w:val="4A2D0071"/>
    <w:rsid w:val="4A9C51DE"/>
    <w:rsid w:val="4C2CB11A"/>
    <w:rsid w:val="4E75A62D"/>
    <w:rsid w:val="4F668FA5"/>
    <w:rsid w:val="4F9F3B72"/>
    <w:rsid w:val="52E6009B"/>
    <w:rsid w:val="54356DE5"/>
    <w:rsid w:val="5508810E"/>
    <w:rsid w:val="570A4A18"/>
    <w:rsid w:val="571DD724"/>
    <w:rsid w:val="576497E4"/>
    <w:rsid w:val="5AF7B358"/>
    <w:rsid w:val="5D199FB6"/>
    <w:rsid w:val="5D7F2050"/>
    <w:rsid w:val="5DAD70E1"/>
    <w:rsid w:val="5F9586B6"/>
    <w:rsid w:val="6145C288"/>
    <w:rsid w:val="62C2E0E4"/>
    <w:rsid w:val="64DE469F"/>
    <w:rsid w:val="6DBAEB7D"/>
    <w:rsid w:val="6E3D9D43"/>
    <w:rsid w:val="6F6E9962"/>
    <w:rsid w:val="717C4390"/>
    <w:rsid w:val="73785481"/>
    <w:rsid w:val="75738F96"/>
    <w:rsid w:val="759329AE"/>
    <w:rsid w:val="76E8C02A"/>
    <w:rsid w:val="78A23E49"/>
    <w:rsid w:val="79A6890F"/>
    <w:rsid w:val="7B8B2D88"/>
    <w:rsid w:val="7C4E2EA1"/>
    <w:rsid w:val="7C707174"/>
    <w:rsid w:val="7DC60D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B98FE1"/>
  <w14:defaultImageDpi w14:val="300"/>
  <w15:docId w15:val="{8EAB49F6-66A3-49FF-A7ED-A22CF553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eastAsia="Aptos" w:hAnsi="Aptos"/>
      <w:color w:val="222222"/>
      <w:sz w:val="19"/>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20"/>
      <w:outlineLvl w:val="1"/>
    </w:pPr>
    <w:rPr>
      <w:rFonts w:asciiTheme="majorHAnsi" w:eastAsiaTheme="majorEastAsia" w:hAnsiTheme="majorHAnsi" w:cstheme="majorBidi"/>
      <w:b/>
      <w:bCs/>
      <w:color w:val="2F75B5"/>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59595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spacing w:after="40" w:line="250" w:lineRule="auto"/>
      <w:contextualSpacing/>
    </w:pPr>
  </w:style>
  <w:style w:type="paragraph" w:styleId="ListBullet2">
    <w:name w:val="List Bullet 2"/>
    <w:basedOn w:val="Normal"/>
    <w:uiPriority w:val="99"/>
    <w:unhideWhenUsed/>
    <w:rsid w:val="00326F90"/>
    <w:pPr>
      <w:numPr>
        <w:numId w:val="19"/>
      </w:numPr>
      <w:spacing w:after="40" w:line="250" w:lineRule="auto"/>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2"/>
      </w:numPr>
      <w:spacing w:after="40" w:line="250" w:lineRule="auto"/>
      <w:contextualSpacing/>
    </w:pPr>
  </w:style>
  <w:style w:type="paragraph" w:styleId="ListNumber2">
    <w:name w:val="List Number 2"/>
    <w:basedOn w:val="Normal"/>
    <w:uiPriority w:val="99"/>
    <w:unhideWhenUsed/>
    <w:rsid w:val="0029639D"/>
    <w:pPr>
      <w:numPr>
        <w:numId w:val="23"/>
      </w:numPr>
      <w:contextualSpacing/>
    </w:pPr>
  </w:style>
  <w:style w:type="paragraph" w:styleId="ListNumber3">
    <w:name w:val="List Number 3"/>
    <w:basedOn w:val="Normal"/>
    <w:uiPriority w:val="99"/>
    <w:unhideWhenUsed/>
    <w:rsid w:val="0029639D"/>
    <w:pPr>
      <w:numPr>
        <w:numId w:val="25"/>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CD06C0"/>
    <w:rPr>
      <w:sz w:val="16"/>
      <w:szCs w:val="16"/>
    </w:rPr>
  </w:style>
  <w:style w:type="paragraph" w:styleId="CommentText">
    <w:name w:val="annotation text"/>
    <w:basedOn w:val="Normal"/>
    <w:link w:val="CommentTextChar"/>
    <w:uiPriority w:val="99"/>
    <w:unhideWhenUsed/>
    <w:rsid w:val="00CD06C0"/>
    <w:pPr>
      <w:spacing w:line="240" w:lineRule="auto"/>
    </w:pPr>
    <w:rPr>
      <w:sz w:val="20"/>
      <w:szCs w:val="20"/>
    </w:rPr>
  </w:style>
  <w:style w:type="character" w:customStyle="1" w:styleId="CommentTextChar">
    <w:name w:val="Comment Text Char"/>
    <w:basedOn w:val="DefaultParagraphFont"/>
    <w:link w:val="CommentText"/>
    <w:uiPriority w:val="99"/>
    <w:rsid w:val="00CD06C0"/>
    <w:rPr>
      <w:rFonts w:ascii="Aptos" w:eastAsia="Aptos" w:hAnsi="Aptos"/>
      <w:color w:val="222222"/>
      <w:sz w:val="20"/>
      <w:szCs w:val="20"/>
    </w:rPr>
  </w:style>
  <w:style w:type="paragraph" w:styleId="CommentSubject">
    <w:name w:val="annotation subject"/>
    <w:basedOn w:val="CommentText"/>
    <w:next w:val="CommentText"/>
    <w:link w:val="CommentSubjectChar"/>
    <w:uiPriority w:val="99"/>
    <w:semiHidden/>
    <w:unhideWhenUsed/>
    <w:rsid w:val="00CD06C0"/>
    <w:rPr>
      <w:b/>
      <w:bCs/>
    </w:rPr>
  </w:style>
  <w:style w:type="character" w:customStyle="1" w:styleId="CommentSubjectChar">
    <w:name w:val="Comment Subject Char"/>
    <w:basedOn w:val="CommentTextChar"/>
    <w:link w:val="CommentSubject"/>
    <w:uiPriority w:val="99"/>
    <w:semiHidden/>
    <w:rsid w:val="00CD06C0"/>
    <w:rPr>
      <w:rFonts w:ascii="Aptos" w:eastAsia="Aptos" w:hAnsi="Aptos"/>
      <w:b/>
      <w:bCs/>
      <w:color w:val="222222"/>
      <w:sz w:val="20"/>
      <w:szCs w:val="20"/>
    </w:rPr>
  </w:style>
  <w:style w:type="character" w:styleId="Hyperlink">
    <w:name w:val="Hyperlink"/>
    <w:basedOn w:val="DefaultParagraphFont"/>
    <w:uiPriority w:val="99"/>
    <w:unhideWhenUsed/>
    <w:rsid w:val="00AE4498"/>
    <w:rPr>
      <w:color w:val="0000FF" w:themeColor="hyperlink"/>
      <w:u w:val="single"/>
    </w:rPr>
  </w:style>
  <w:style w:type="character" w:styleId="UnresolvedMention">
    <w:name w:val="Unresolved Mention"/>
    <w:basedOn w:val="DefaultParagraphFont"/>
    <w:uiPriority w:val="99"/>
    <w:semiHidden/>
    <w:unhideWhenUsed/>
    <w:rsid w:val="00AE4498"/>
    <w:rPr>
      <w:color w:val="605E5C"/>
      <w:shd w:val="clear" w:color="auto" w:fill="E1DFDD"/>
    </w:rPr>
  </w:style>
  <w:style w:type="paragraph" w:customStyle="1" w:styleId="pdq2pgselectionanchorcontainer">
    <w:name w:val="pdq2pg_selectionanchorcontainer"/>
    <w:basedOn w:val="Normal"/>
    <w:rsid w:val="00BF1C26"/>
    <w:pPr>
      <w:spacing w:before="100" w:beforeAutospacing="1" w:afterAutospacing="1" w:line="240" w:lineRule="auto"/>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BF1C26"/>
    <w:pPr>
      <w:spacing w:before="100" w:beforeAutospacing="1" w:afterAutospacing="1" w:line="240" w:lineRule="auto"/>
    </w:pPr>
    <w:rPr>
      <w:rFonts w:ascii="Times New Roman" w:eastAsia="Times New Roman" w:hAnsi="Times New Roman" w:cs="Times New Roman"/>
      <w:color w:val="auto"/>
      <w:sz w:val="24"/>
      <w:szCs w:val="24"/>
    </w:rPr>
  </w:style>
  <w:style w:type="paragraph" w:styleId="Revision">
    <w:name w:val="Revision"/>
    <w:hidden/>
    <w:uiPriority w:val="99"/>
    <w:semiHidden/>
    <w:rsid w:val="00044F41"/>
    <w:pPr>
      <w:spacing w:after="0" w:line="240" w:lineRule="auto"/>
    </w:pPr>
    <w:rPr>
      <w:rFonts w:ascii="Aptos" w:eastAsia="Aptos" w:hAnsi="Aptos"/>
      <w:color w:val="22222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rdfglobal.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nikolova@crdfglobal.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0D95C2574694D85263AC894275371" ma:contentTypeVersion="31" ma:contentTypeDescription="Create a new document." ma:contentTypeScope="" ma:versionID="b4c5d60efd705a6cfd6ae12517af49b0">
  <xsd:schema xmlns:xsd="http://www.w3.org/2001/XMLSchema" xmlns:xs="http://www.w3.org/2001/XMLSchema" xmlns:p="http://schemas.microsoft.com/office/2006/metadata/properties" xmlns:ns2="6c5e558f-e7de-47a3-9792-16b155358116" xmlns:ns3="20d50142-6d23-4403-8ae2-9057a2c5c00e" targetNamespace="http://schemas.microsoft.com/office/2006/metadata/properties" ma:root="true" ma:fieldsID="d173975f95d58cbef142f5be8c19d3ce" ns2:_="" ns3:_="">
    <xsd:import namespace="6c5e558f-e7de-47a3-9792-16b155358116"/>
    <xsd:import namespace="20d50142-6d23-4403-8ae2-9057a2c5c00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e558f-e7de-47a3-9792-16b1553581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f8c0d5f-d284-4406-9747-6eeb25dc54cd}" ma:internalName="TaxCatchAll" ma:showField="CatchAllData" ma:web="6c5e558f-e7de-47a3-9792-16b1553581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d50142-6d23-4403-8ae2-9057a2c5c0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bd5f298-1e24-4768-94fc-a8b9045ba2dd"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d50142-6d23-4403-8ae2-9057a2c5c00e">
      <Terms xmlns="http://schemas.microsoft.com/office/infopath/2007/PartnerControls"/>
    </lcf76f155ced4ddcb4097134ff3c332f>
    <TaxCatchAll xmlns="6c5e558f-e7de-47a3-9792-16b155358116" xsi:nil="true"/>
    <_Flow_SignoffStatus xmlns="20d50142-6d23-4403-8ae2-9057a2c5c00e" xsi:nil="true"/>
    <_dlc_DocId xmlns="6c5e558f-e7de-47a3-9792-16b155358116">XMZSPD5F325D-1766360336-503246</_dlc_DocId>
    <_dlc_DocIdUrl xmlns="6c5e558f-e7de-47a3-9792-16b155358116">
      <Url>https://crdfglobal.sharepoint.com/sites/CostPointCMI/_layouts/15/DocIdRedir.aspx?ID=XMZSPD5F325D-1766360336-503246</Url>
      <Description>XMZSPD5F325D-1766360336-503246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EF0B82-9B2A-4C06-A25B-8E3480D31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e558f-e7de-47a3-9792-16b155358116"/>
    <ds:schemaRef ds:uri="20d50142-6d23-4403-8ae2-9057a2c5c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2D13D-CC33-41D1-AA6C-9725EF137529}">
  <ds:schemaRefs>
    <ds:schemaRef ds:uri="http://schemas.microsoft.com/office/2006/metadata/properties"/>
    <ds:schemaRef ds:uri="http://schemas.microsoft.com/office/infopath/2007/PartnerControls"/>
    <ds:schemaRef ds:uri="20d50142-6d23-4403-8ae2-9057a2c5c00e"/>
    <ds:schemaRef ds:uri="6c5e558f-e7de-47a3-9792-16b155358116"/>
  </ds:schemaRefs>
</ds:datastoreItem>
</file>

<file path=customXml/itemProps3.xml><?xml version="1.0" encoding="utf-8"?>
<ds:datastoreItem xmlns:ds="http://schemas.openxmlformats.org/officeDocument/2006/customXml" ds:itemID="{C1215201-D2B3-4D82-B11C-75E3BBC57643}">
  <ds:schemaRefs>
    <ds:schemaRef ds:uri="http://schemas.microsoft.com/sharepoint/v3/contenttype/forms"/>
  </ds:schemaRefs>
</ds:datastoreItem>
</file>

<file path=customXml/itemProps4.xml><?xml version="1.0" encoding="utf-8"?>
<ds:datastoreItem xmlns:ds="http://schemas.openxmlformats.org/officeDocument/2006/customXml" ds:itemID="{415A0C6A-D018-439C-BC90-A886EF7C905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3748</Words>
  <Characters>21364</Characters>
  <Application>Microsoft Office Word</Application>
  <DocSecurity>4</DocSecurity>
  <Lines>178</Lines>
  <Paragraphs>50</Paragraphs>
  <ScaleCrop>false</ScaleCrop>
  <Manager/>
  <Company/>
  <LinksUpToDate>false</LinksUpToDate>
  <CharactersWithSpaces>25062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Assessing Foreign Defense Requirements and Evaluating U.S. and Allied Security Solutions</dc:title>
  <dc:subject>Request for Proposals / Generalized Statement of Work</dc:subject>
  <dc:creator>Shafaq, Habib</dc:creator>
  <cp:keywords>RFP, statement of work, defense capability assessment, CRDF Global</cp:keywords>
  <dc:description>generated by python-docx</dc:description>
  <cp:lastModifiedBy>Shafaq, Habib</cp:lastModifiedBy>
  <cp:revision>2</cp:revision>
  <dcterms:created xsi:type="dcterms:W3CDTF">2026-08-27T12:05:00Z</dcterms:created>
  <dcterms:modified xsi:type="dcterms:W3CDTF">2026-08-27T12:05:00Z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0x0101000F60D95C2574694D85263AC894275371</vt:lpwstr>
  </property>
  <property fmtid="{D5CDD505-2E9C-101B-9397-08002B2CF9AE}" pid="3" name="docLang">
    <vt:lpwstr>en</vt:lpwstr>
  </property>
  <property fmtid="{D5CDD505-2E9C-101B-9397-08002B2CF9AE}" pid="4" name="MediaServiceImageTags">
    <vt:lpwstr/>
  </property>
  <property fmtid="{D5CDD505-2E9C-101B-9397-08002B2CF9AE}" pid="5" name="MSIP_Label_1665d9ee-429a-4d5f-97cc-cfb56e044a6e_Enabled">
    <vt:lpwstr>true</vt:lpwstr>
  </property>
  <property fmtid="{D5CDD505-2E9C-101B-9397-08002B2CF9AE}" pid="6" name="MSIP_Label_1665d9ee-429a-4d5f-97cc-cfb56e044a6e_SetDate">
    <vt:lpwstr>2026-08-24T13:19:27Z</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ActionId">
    <vt:lpwstr>7f6311b6-aeac-4e32-96e5-419ff7333b31</vt:lpwstr>
  </property>
  <property fmtid="{D5CDD505-2E9C-101B-9397-08002B2CF9AE}" pid="11" name="MSIP_Label_1665d9ee-429a-4d5f-97cc-cfb56e044a6e_ContentBits">
    <vt:lpwstr>0</vt:lpwstr>
  </property>
  <property fmtid="{D5CDD505-2E9C-101B-9397-08002B2CF9AE}" pid="12" name="MSIP_Label_1665d9ee-429a-4d5f-97cc-cfb56e044a6e_Tag">
    <vt:lpwstr>10, 0, 1, 1</vt:lpwstr>
  </property>
  <property fmtid="{D5CDD505-2E9C-101B-9397-08002B2CF9AE}" pid="13" name="_dlc_DocIdItemGuid">
    <vt:lpwstr>a37e1a43-f847-470b-aab1-5527d8ffb954</vt:lpwstr>
  </property>
</Properties>
</file>